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Hernandez Gerardo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TransMedics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01810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12/09/2024</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12,463</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12,463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69.84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12/09/2024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18,922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12/09/2034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18,922</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18,922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12,463 restricted stock units ("RSUs"). Each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25% of the shares underlying the option on December 2, 2025 and as to the remaining shares in equal monthly installments over three years thereafter, subject to Reporting Persons' continued service to the Issuer.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Waleed Hassanein,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12/11/2024</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M.D., Attorney-in-Fact</w:t>
            </w:r>
          </w:p>
        </w:tc>
        <w:tc>
          <w:tcPr>
            <w:tcW w:w="180" w:type="dxa"/>
            <w:vAlign w:val="bottom"/>
            <w:tcBorders>
              <w:top w:val="single" w:sz="8" w:color="auto"/>
              <w:bottom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6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6180" TargetMode="External"/><Relationship Id="rId14"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2024-12-11T17:51:16Z</dcterms:created>
  <dcterms:modified xsi:type="dcterms:W3CDTF">2024-12-11T17:51:16Z</dcterms:modified>
</cp:coreProperties>
</file>