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Hassanein Waleed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TRANSMEDICS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MINUTEMAN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TransMedics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TMDX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5"/>
        <w:gridCol w:w="917"/>
        <w:gridCol w:w="786"/>
        <w:gridCol w:w="609"/>
        <w:gridCol w:w="347"/>
        <w:gridCol w:w="928"/>
        <w:gridCol w:w="443"/>
        <w:gridCol w:w="608"/>
        <w:gridCol w:w="1184"/>
        <w:gridCol w:w="991"/>
        <w:gridCol w:w="116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49,669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171,093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345,009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Waleed H. Hassanein Revocable Trust</w:t>
            </w:r>
          </w:p>
        </w:tc>
      </w:tr>
      <w:tr>
        <w:trPr/>
        <w:tc>
          <w:tcPr>
            <w:tcW w:w="22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Hassanein 2026 Qualified Annuity Trust</w:t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71.23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112,984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112,984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112,984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49,669 restricted stock units ("RSUs").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 prior transfer of 150,000 shares of the Issuer's common stock from the Waleed H. Hassanein Revocable Trust to the Hassanein 2026 Qualified Annuity Trust. The transfer constituted only a change in the form of beneficial ownership and was exempt under Rule 16a-13 of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at a rate of 2.0833% of the total number of shares subject to the option each month following April 10, 2026 until the option is fully vested on April 10, 2030, subject to continued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Gerardo Hernandez,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0466" TargetMode="External"/><Relationship Id="rId5" Type="http://schemas.openxmlformats.org/officeDocument/2006/relationships/hyperlink" Target="http://www.sec.gov/cgi-bin/browse-edgar?action=getcompany&amp;CIK=0001756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719</Words>
  <Characters>3851</Characters>
  <CharactersWithSpaces>4493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