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00" w:hanging="3812"/>
        <w:spacing w:after="0" w:line="266"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7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5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3777615</wp:posOffset>
            </wp:positionH>
            <wp:positionV relativeFrom="paragraph">
              <wp:posOffset>-20320</wp:posOffset>
            </wp:positionV>
            <wp:extent cx="457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840" w:type="dxa"/>
            <w:vAlign w:val="bottom"/>
            <w:gridSpan w:val="2"/>
          </w:tcPr>
          <w:p>
            <w:pPr>
              <w:jc w:val="center"/>
              <w:ind w:left="1718"/>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right"/>
              <w:ind w:right="2304"/>
              <w:spacing w:after="0"/>
              <w:rPr>
                <w:sz w:val="20"/>
                <w:szCs w:val="20"/>
                <w:color w:val="auto"/>
              </w:rPr>
            </w:pPr>
            <w:r>
              <w:rPr>
                <w:rFonts w:ascii="Times New Roman" w:cs="Times New Roman" w:eastAsia="Times New Roman" w:hAnsi="Times New Roman"/>
                <w:sz w:val="18"/>
                <w:szCs w:val="18"/>
                <w:b w:val="1"/>
                <w:bCs w:val="1"/>
                <w:color w:val="auto"/>
              </w:rPr>
              <w:t>83-2181531</w:t>
            </w:r>
          </w:p>
        </w:tc>
      </w:tr>
      <w:tr>
        <w:trPr>
          <w:trHeight w:val="149"/>
        </w:trPr>
        <w:tc>
          <w:tcPr>
            <w:tcW w:w="3840" w:type="dxa"/>
            <w:vAlign w:val="bottom"/>
            <w:gridSpan w:val="2"/>
          </w:tcPr>
          <w:p>
            <w:pPr>
              <w:jc w:val="center"/>
              <w:ind w:left="17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jc w:val="center"/>
              <w:ind w:right="19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gridSpan w:val="2"/>
          </w:tcPr>
          <w:p>
            <w:pPr>
              <w:jc w:val="center"/>
              <w:ind w:left="17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ind w:right="194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12"/>
        </w:trPr>
        <w:tc>
          <w:tcPr>
            <w:tcW w:w="3840" w:type="dxa"/>
            <w:vAlign w:val="bottom"/>
            <w:gridSpan w:val="2"/>
          </w:tcPr>
          <w:p>
            <w:pPr>
              <w:jc w:val="center"/>
              <w:ind w:left="1718"/>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4"/>
        </w:trPr>
        <w:tc>
          <w:tcPr>
            <w:tcW w:w="3840" w:type="dxa"/>
            <w:vAlign w:val="bottom"/>
            <w:gridSpan w:val="2"/>
          </w:tcPr>
          <w:p>
            <w:pPr>
              <w:jc w:val="center"/>
              <w:ind w:left="1718"/>
              <w:spacing w:after="0"/>
              <w:rPr>
                <w:sz w:val="20"/>
                <w:szCs w:val="20"/>
                <w:color w:val="auto"/>
              </w:rPr>
            </w:pPr>
            <w:r>
              <w:rPr>
                <w:rFonts w:ascii="Times New Roman" w:cs="Times New Roman" w:eastAsia="Times New Roman" w:hAnsi="Times New Roman"/>
                <w:sz w:val="18"/>
                <w:szCs w:val="18"/>
                <w:b w:val="1"/>
                <w:bCs w:val="1"/>
                <w:color w:val="auto"/>
              </w:rPr>
              <w:t>Andover, Massachusetts</w:t>
            </w: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0" w:type="dxa"/>
            <w:vAlign w:val="bottom"/>
            <w:gridSpan w:val="2"/>
          </w:tcPr>
          <w:p>
            <w:pPr>
              <w:jc w:val="right"/>
              <w:ind w:right="2504"/>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7440" w:type="dxa"/>
            <w:vAlign w:val="bottom"/>
            <w:gridSpan w:val="5"/>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3600" w:type="dxa"/>
            <w:vAlign w:val="bottom"/>
          </w:tcPr>
          <w:p>
            <w:pPr>
              <w:jc w:val="center"/>
              <w:ind w:right="194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9"/>
              </w:rPr>
              <w:t>(978) 552-0900</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0"/>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05"/>
        </w:trPr>
        <w:tc>
          <w:tcPr>
            <w:tcW w:w="36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900" w:type="dxa"/>
            <w:vAlign w:val="bottom"/>
            <w:gridSpan w:val="2"/>
          </w:tcPr>
          <w:p>
            <w:pPr>
              <w:spacing w:after="0"/>
              <w:rPr>
                <w:sz w:val="9"/>
                <w:szCs w:val="9"/>
                <w:color w:val="auto"/>
              </w:rPr>
            </w:pPr>
          </w:p>
        </w:tc>
        <w:tc>
          <w:tcPr>
            <w:tcW w:w="3600" w:type="dxa"/>
            <w:vAlign w:val="bottom"/>
          </w:tcPr>
          <w:p>
            <w:pPr>
              <w:spacing w:after="0"/>
              <w:rPr>
                <w:sz w:val="9"/>
                <w:szCs w:val="9"/>
                <w:color w:val="auto"/>
              </w:rPr>
            </w:pPr>
          </w:p>
        </w:tc>
      </w:tr>
      <w:tr>
        <w:trPr>
          <w:trHeight w:val="232"/>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61"/>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60" w:type="dxa"/>
            <w:vAlign w:val="bottom"/>
          </w:tcPr>
          <w:p>
            <w:pPr>
              <w:spacing w:after="0"/>
              <w:rPr>
                <w:sz w:val="22"/>
                <w:szCs w:val="22"/>
                <w:color w:val="auto"/>
              </w:rPr>
            </w:pPr>
          </w:p>
        </w:tc>
        <w:tc>
          <w:tcPr>
            <w:tcW w:w="29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22"/>
                <w:szCs w:val="22"/>
                <w:color w:val="auto"/>
              </w:rPr>
            </w:pPr>
          </w:p>
        </w:tc>
        <w:tc>
          <w:tcPr>
            <w:tcW w:w="36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TMDX</w:t>
            </w:r>
          </w:p>
        </w:tc>
        <w:tc>
          <w:tcPr>
            <w:tcW w:w="200" w:type="dxa"/>
            <w:vAlign w:val="bottom"/>
          </w:tcPr>
          <w:p>
            <w:pPr>
              <w:spacing w:after="0"/>
              <w:rPr>
                <w:sz w:val="20"/>
                <w:szCs w:val="20"/>
                <w:color w:val="auto"/>
              </w:rPr>
            </w:pPr>
          </w:p>
        </w:tc>
        <w:tc>
          <w:tcPr>
            <w:tcW w:w="36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67"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2026, the registrant had 34,560,911 shares of common stock,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future results of operations and financial position, business strategy and plans and our objectives for future operations, are forward-looking statements. The words “believe,” “may,” “will,” “estimate,” “continue,” “anticipate,” “intend,” “expect,” “should,” “could,” “target,” “predict,” “seek”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or referenced in the section titled “Risk Factors,” which could cause actual results to differ materially. Moreover, we operate in a very competitive and rapidly changing environment and new risks emerge from time to time. It is not possible for our management to predict all risks, nor can we assess the impact of all factors or the extent to which any factor, or combination of factors, may cause actual results to differ materially from those contained in, or implied by,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forward-looking statements included in this Quarterly Report on Form 10-Q are made only as of the date of this report and should not be relied upon as predictions of future events.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key factors that could cause actual results to differ include:</w:t>
      </w:r>
    </w:p>
    <w:p>
      <w:pPr>
        <w:spacing w:after="0" w:line="117"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financial results from quarter to quarter;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key personnel;</w:t>
      </w:r>
    </w:p>
    <w:p>
      <w:pPr>
        <w:spacing w:after="0" w:line="12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the Organ Care System, or OCS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access to the OCS through our National OCS Program, or NOP</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OCS platform, including by developing the next generation of the OCS products or expanding into new indications and the development, and potential commercialization of our OCS Kidney device;</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results of clinical trials for the OCS, including pre- and post-approval studies, or other product candidates, including the Controlled Hypothermic Organ Preservation System, or CHOPS;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and our ability to obtain it on favorable terms, or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and research and development credit carryforwards;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a material weakness in our internal control over financial reporting, and that we may identify additional material weaknesses in the future;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manufacturing and sterilization capabilities to meet increasing demand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the OCS;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patients, surgeons, transplant centers and private and public payors on the benefits offered by the OCS;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for a significant portion of our revenue;</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or clearances for our OCS products in the United States, the European Union and other select jurisdictions worldwide;</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respond to the Food and Drug Administration, or FDA, or other competent authorities, follow-up inquiries in a timely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383"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policy changes, including recently enacted or potential future legislation or administrative actions affecting or reforming the U.S. healthcare system, Organ Procurement and Transplantation Network, or OPTN, or the FDA;</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jc w:val="both"/>
        <w:ind w:left="383" w:hanging="383"/>
        <w:spacing w:after="0" w:line="261"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 parties to transport donor organs and medical personnel for our NOP and our ability to maintain and grow our transplant logistics capabilities to support our NOP to reduce dependence on third-party transportation, including by means of attracting, training and retaining pilots, and the acquisition, maintenance or replacement of fixed-wing aircraft for our aviation transportation services or other acquisitions, joint ventures or strategic investments;</w:t>
      </w:r>
    </w:p>
    <w:p>
      <w:pPr>
        <w:spacing w:after="0" w:line="71" w:lineRule="exact"/>
        <w:rPr>
          <w:rFonts w:ascii="Times New Roman" w:cs="Times New Roman" w:eastAsia="Times New Roman" w:hAnsi="Times New Roman"/>
          <w:sz w:val="18"/>
          <w:szCs w:val="18"/>
          <w:color w:val="auto"/>
        </w:rPr>
      </w:pPr>
    </w:p>
    <w:p>
      <w:pPr>
        <w:ind w:left="383" w:right="20"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Federal Aviation Administration, or FAA, or other regulatory licenses or approvals for our aircraft transportation services;</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of the components of our products and maintenance, parts and fuel for our aircraft;</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sales, marketing and clinical support capabilities and strategy;</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against our information technology, or IT, infrastructure;</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political and other risks associated with our foreign operations;</w:t>
      </w:r>
    </w:p>
    <w:p>
      <w:pPr>
        <w:spacing w:after="0" w:line="117"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defend, maintain and enforce our intellectual property rights relating to the OCS and avoid allegations that our products or services infringe, misappropriate or otherwise violate the intellectual property rights of third parties;</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the OCS, as well as the reimbursement coverage for the OCS in the United States and internationally;</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European Union and other jurisdictions;</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shutdown of the U.S. government;</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success of competing products or procedures that are or may become available;</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1.50% convertible senior notes, due 2028, or the Notes;</w:t>
      </w:r>
    </w:p>
    <w:p>
      <w:pPr>
        <w:spacing w:after="0" w:line="117"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including our ability to comply with affirmative and negative covenants under our credit agreements to which we will remain subject until maturity;</w:t>
      </w:r>
    </w:p>
    <w:p>
      <w:pPr>
        <w:spacing w:after="0" w:line="53"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product recalls or improper use of our products;</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plans and the costs related thereto; and</w:t>
      </w:r>
    </w:p>
    <w:p>
      <w:pPr>
        <w:spacing w:after="0" w:line="117"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 expenses and needs for additional financing.</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6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TransMedics Group,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gridSpan w:val="5"/>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gridSpan w:val="7"/>
            <w:vMerge w:val="restart"/>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80" w:type="dxa"/>
            <w:vAlign w:val="bottom"/>
            <w:gridSpan w:val="7"/>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80" w:type="dxa"/>
            <w:vAlign w:val="bottom"/>
            <w:gridSpan w:val="7"/>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PART II—OTHER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2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461,739</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488,366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Pr>
          <w:p>
            <w:pPr>
              <w:spacing w:after="0"/>
              <w:rPr>
                <w:sz w:val="18"/>
                <w:szCs w:val="18"/>
                <w:color w:val="auto"/>
              </w:rPr>
            </w:pPr>
          </w:p>
        </w:tc>
      </w:tr>
      <w:tr>
        <w:trPr>
          <w:trHeight w:val="20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637,783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327,656</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1,434,820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1,068,373</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89,305</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452,804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940,813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595,273</w:t>
            </w:r>
          </w:p>
        </w:tc>
        <w:tc>
          <w:tcPr>
            <w:tcW w:w="100" w:type="dxa"/>
            <w:vAlign w:val="bottom"/>
            <w:tcBorders>
              <w:top w:val="single" w:sz="8" w:color="CFF0FC"/>
            </w:tcBorders>
          </w:tcPr>
          <w:p>
            <w:pPr>
              <w:spacing w:after="0"/>
              <w:rPr>
                <w:sz w:val="18"/>
                <w:szCs w:val="18"/>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no par value; 25,000,000 shares authorized; no shares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or outstanding</w:t>
            </w: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 par value; 150,000,000 shares authorized; 34,545,721</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and 34,267,802 shares issued and outstanding as of March 31, 2026</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750,926</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(277,950)</w:t>
            </w:r>
          </w:p>
        </w:tc>
      </w:tr>
      <w:tr>
        <w:trPr>
          <w:trHeight w:val="209"/>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494,007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1,434,820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1,068,373</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-3668395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-2536825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-1704975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product revenue</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107,972</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88,234</w:t>
            </w:r>
          </w:p>
        </w:tc>
        <w:tc>
          <w:tcPr>
            <w:tcW w:w="12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65,961</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173,933</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143,537</w:t>
            </w:r>
          </w:p>
        </w:tc>
        <w:tc>
          <w:tcPr>
            <w:tcW w:w="120" w:type="dxa"/>
            <w:vAlign w:val="bottom"/>
          </w:tcPr>
          <w:p>
            <w:pPr>
              <w:spacing w:after="0"/>
              <w:rPr>
                <w:sz w:val="18"/>
                <w:szCs w:val="18"/>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net product revenue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20" w:type="dxa"/>
            <w:vAlign w:val="bottom"/>
          </w:tcPr>
          <w:p>
            <w:pPr>
              <w:spacing w:after="0"/>
              <w:rPr>
                <w:sz w:val="18"/>
                <w:szCs w:val="18"/>
                <w:color w:val="auto"/>
              </w:rPr>
            </w:pPr>
          </w:p>
        </w:tc>
      </w:tr>
      <w:tr>
        <w:trPr>
          <w:trHeight w:val="216"/>
        </w:trPr>
        <w:tc>
          <w:tcPr>
            <w:tcW w:w="7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service revenue</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48,464</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55,309</w:t>
            </w:r>
          </w:p>
        </w:tc>
        <w:tc>
          <w:tcPr>
            <w:tcW w:w="120" w:type="dxa"/>
            <w:vAlign w:val="bottom"/>
          </w:tcPr>
          <w:p>
            <w:pPr>
              <w:spacing w:after="0"/>
              <w:rPr>
                <w:sz w:val="18"/>
                <w:szCs w:val="18"/>
                <w:color w:val="auto"/>
              </w:rPr>
            </w:pPr>
          </w:p>
        </w:tc>
      </w:tr>
      <w:tr>
        <w:trPr>
          <w:trHeight w:val="209"/>
        </w:trPr>
        <w:tc>
          <w:tcPr>
            <w:tcW w:w="7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101,161</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development and clinical trials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120" w:type="dxa"/>
            <w:vAlign w:val="bottom"/>
          </w:tcPr>
          <w:p>
            <w:pPr>
              <w:spacing w:after="0"/>
              <w:rPr>
                <w:sz w:val="18"/>
                <w:szCs w:val="18"/>
                <w:color w:val="auto"/>
              </w:rPr>
            </w:pPr>
          </w:p>
        </w:tc>
      </w:tr>
      <w:tr>
        <w:trPr>
          <w:trHeight w:val="209"/>
        </w:trPr>
        <w:tc>
          <w:tcPr>
            <w:tcW w:w="7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87,864</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20" w:type="dxa"/>
            <w:vAlign w:val="bottom"/>
          </w:tcPr>
          <w:p>
            <w:pPr>
              <w:spacing w:after="0"/>
              <w:rPr>
                <w:sz w:val="18"/>
                <w:szCs w:val="18"/>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(7,170)</w:t>
            </w: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r>
      <w:tr>
        <w:trPr>
          <w:trHeight w:val="216"/>
        </w:trPr>
        <w:tc>
          <w:tcPr>
            <w:tcW w:w="7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4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(4,812)</w:t>
            </w: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(1,170)</w:t>
            </w: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(994)</w:t>
            </w:r>
          </w:p>
        </w:tc>
      </w:tr>
      <w:tr>
        <w:trPr>
          <w:trHeight w:val="250"/>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7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34,384,207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33,721,603</w:t>
            </w:r>
          </w:p>
        </w:tc>
        <w:tc>
          <w:tcPr>
            <w:tcW w:w="120" w:type="dxa"/>
            <w:vAlign w:val="bottom"/>
          </w:tcPr>
          <w:p>
            <w:pPr>
              <w:spacing w:after="0"/>
              <w:rPr>
                <w:sz w:val="18"/>
                <w:szCs w:val="18"/>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36,194,023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39,914,487</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-3411220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-2845435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-2553970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-1988185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-1422400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-847725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-831215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-831215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09"/>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30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Borders>
              <w:top w:val="single" w:sz="8" w:color="CFF0FC"/>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266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26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sive Income</w:t>
            </w:r>
          </w:p>
        </w:tc>
        <w:tc>
          <w:tcPr>
            <w:tcW w:w="3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34,267,802</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750,926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(277,950)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the</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 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common stock upon</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34,545,721</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764,640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(270,635)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266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26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sive Loss</w:t>
            </w:r>
          </w:p>
        </w:tc>
        <w:tc>
          <w:tcPr>
            <w:tcW w:w="3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33,617,972</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697,208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(468,241)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the</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connection with employee stock</w:t>
            </w:r>
          </w:p>
        </w:tc>
        <w:tc>
          <w:tcPr>
            <w:tcW w:w="1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common stock forfeitures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(2,880)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111,419</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translation adjustment</w:t>
            </w: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33,827,880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709,194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(442,559)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-2416810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-2416810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-2416810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-2416810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5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25,682</w:t>
            </w:r>
          </w:p>
        </w:tc>
        <w:tc>
          <w:tcPr>
            <w:tcW w:w="120" w:type="dxa"/>
            <w:vAlign w:val="bottom"/>
          </w:tcPr>
          <w:p>
            <w:pPr>
              <w:spacing w:after="0"/>
              <w:rPr>
                <w:sz w:val="17"/>
                <w:szCs w:val="17"/>
                <w:color w:val="auto"/>
              </w:rPr>
            </w:pPr>
          </w:p>
        </w:tc>
      </w:tr>
      <w:tr>
        <w:trPr>
          <w:trHeight w:val="189"/>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w:t>
            </w: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(used in) operating activities:</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8,958</w:t>
            </w: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Unrealized foreign currency transaction (gains) losses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w:t>
            </w: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0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(6,520)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(44,134)</w:t>
            </w: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(3,896)</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(3,105)</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(4,644)</w:t>
            </w: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(664)</w:t>
            </w: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(2,855)</w:t>
            </w:r>
          </w:p>
        </w:tc>
      </w:tr>
      <w:tr>
        <w:trPr>
          <w:trHeight w:val="19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0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(36,657)</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(27,038)</w:t>
            </w: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(36,657)</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(27,038)</w:t>
            </w:r>
          </w:p>
        </w:tc>
      </w:tr>
      <w:tr>
        <w:trPr>
          <w:trHeight w:val="196"/>
        </w:trPr>
        <w:tc>
          <w:tcPr>
            <w:tcW w:w="756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20" w:type="dxa"/>
            <w:vAlign w:val="bottom"/>
            <w:shd w:val="clear" w:color="auto" w:fill="CFF0FC"/>
          </w:tcPr>
          <w:p>
            <w:pPr>
              <w:spacing w:after="0"/>
              <w:rPr>
                <w:sz w:val="17"/>
                <w:szCs w:val="17"/>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employee</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8"/>
                <w:szCs w:val="18"/>
                <w:color w:val="auto"/>
              </w:rPr>
            </w:pPr>
          </w:p>
        </w:tc>
      </w:tr>
      <w:tr>
        <w:trPr>
          <w:trHeight w:val="20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withholding payments related to net settlement of restricted stock units</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20" w:type="dxa"/>
            <w:vAlign w:val="bottom"/>
            <w:tcBorders>
              <w:top w:val="single" w:sz="8" w:color="CFF0FC"/>
            </w:tcBorders>
          </w:tcPr>
          <w:p>
            <w:pPr>
              <w:spacing w:after="0"/>
              <w:rPr>
                <w:sz w:val="17"/>
                <w:szCs w:val="17"/>
                <w:color w:val="auto"/>
              </w:rPr>
            </w:pPr>
          </w:p>
        </w:tc>
      </w:tr>
      <w:tr>
        <w:trPr>
          <w:trHeight w:val="19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17"/>
                <w:szCs w:val="17"/>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decrease in cash and restricted cash</w:t>
            </w:r>
          </w:p>
        </w:tc>
        <w:tc>
          <w:tcPr>
            <w:tcW w:w="10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(8,689)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(26,507)</w:t>
            </w:r>
          </w:p>
        </w:tc>
      </w:tr>
      <w:tr>
        <w:trPr>
          <w:trHeight w:val="203"/>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0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488,866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480,177</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310,643</w:t>
            </w:r>
          </w:p>
        </w:tc>
        <w:tc>
          <w:tcPr>
            <w:tcW w:w="12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Transfers of inventory to property, plant and equipment</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Pr>
          <w:p>
            <w:pPr>
              <w:spacing w:after="0"/>
              <w:rPr>
                <w:sz w:val="17"/>
                <w:szCs w:val="17"/>
                <w:color w:val="auto"/>
              </w:rPr>
            </w:pPr>
          </w:p>
        </w:tc>
      </w:tr>
      <w:tr>
        <w:trPr>
          <w:trHeight w:val="18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Purchases of property, plant and equipment included in accounts payable</w:t>
            </w: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and accrued expenses</w:t>
            </w:r>
          </w:p>
        </w:tc>
        <w:tc>
          <w:tcPr>
            <w:tcW w:w="104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FF0FC"/>
          </w:tcPr>
          <w:p>
            <w:pPr>
              <w:spacing w:after="0"/>
              <w:rPr>
                <w:sz w:val="18"/>
                <w:szCs w:val="18"/>
                <w:color w:val="auto"/>
              </w:rPr>
            </w:pPr>
          </w:p>
        </w:tc>
      </w:tr>
      <w:tr>
        <w:trPr>
          <w:trHeight w:val="203"/>
        </w:trPr>
        <w:tc>
          <w:tcPr>
            <w:tcW w:w="7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 liability arising from obtaining right-of-use assets</w:t>
            </w:r>
          </w:p>
        </w:tc>
        <w:tc>
          <w:tcPr>
            <w:tcW w:w="104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340,040</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of property, plant and equipment included in other long-term liabilities</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Reconciliation of cash and restricted cash:</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461,739</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310,143</w:t>
            </w:r>
          </w:p>
        </w:tc>
        <w:tc>
          <w:tcPr>
            <w:tcW w:w="12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18,438</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restricted cash shown in the statement of cash flows</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480,177</w:t>
            </w:r>
          </w:p>
        </w:tc>
        <w:tc>
          <w:tcPr>
            <w:tcW w:w="140" w:type="dxa"/>
            <w:vAlign w:val="bottom"/>
          </w:tcPr>
          <w:p>
            <w:pPr>
              <w:spacing w:after="0"/>
              <w:rPr>
                <w:sz w:val="17"/>
                <w:szCs w:val="17"/>
                <w:color w:val="auto"/>
              </w:rPr>
            </w:pPr>
          </w:p>
        </w:tc>
        <w:tc>
          <w:tcPr>
            <w:tcW w:w="11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310,643</w:t>
            </w:r>
          </w:p>
        </w:tc>
        <w:tc>
          <w:tcPr>
            <w:tcW w:w="12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-3342640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-3342640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-2802255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-2802255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-2150745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-1876425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-1876425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-1610995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-162560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TransMedics Group, Inc. (“TransMedics Group” and, together with its consolidated subsidiaries, the “Company”) was incorporated in the Commonwealth of Massachusetts in October 2018. TransMedics, Inc. (“TransMedics”), an operating company and wholly owned subsidiary of TransMedics Group, was incorporated in the State of Delaware in August 1998. The Company is a medical technology company transforming organ transplant therapy for end-stage organ failure patients across multiple disease states. The Company developed the Organ Care System (“OCS”) to replace a decades-old standard of care. The OCS represents a paradigm shift that transforms organ preservation for transplantation from a static state to a dynamic environment that enables new capabilities, including organ optimization and assessment. The Company’s OCS technology replicates many aspects of the organ’s natural living and functioning environment outside of the human body. The Company also developed its National OCS Program (“NOP”), an innovative turnkey solution to provide outsourced organ procurement, OCS perfusion management and transplant logistics services, to provide transplant programs in the United States with a more efficient process to procure donor organs with the OCS. The Company’s transplant logistics services include aviation transportation, ground transportation and other coordination activity.</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believes that its existing cash of $461.7 million as of March 31, 2026 will be sufficient to fund its operations, capital expenditures, and debt service payments for at least the next 12 months following the filing of this Quarterly Report on Form 10-Q. If the Company needs to seek additional funding through equity financings, debt financings or strategic alliances, the Company may not be able to obtain financing on acceptable terms, or at all, and the terms of any financing may adversely affect the holdings or the rights of the Company’s shareholders. If the Company is unable to obtain funding when needed, the Company will be required to delay, reduce or eliminate some or all of its research and development programs, product expansion or commercialization efforts, or the Company may be unable to continue operations.</w:t>
      </w:r>
    </w:p>
    <w:p>
      <w:pPr>
        <w:spacing w:after="0" w:line="84" w:lineRule="exact"/>
        <w:rPr>
          <w:sz w:val="20"/>
          <w:szCs w:val="20"/>
          <w:color w:val="auto"/>
        </w:rPr>
      </w:pPr>
    </w:p>
    <w:p>
      <w:pPr>
        <w:ind w:right="20" w:firstLine="515"/>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medical device industry and of similar size, including, but not limited to, development by competitors of new technological innovations, dependence on key personnel, protection of proprietary technology, compliance with government regulations, uncertainty of market acceptance of products, and the need to obtain additional financing to fund operations. Products currently under development will require additional research and development efforts, including additional clinical testing and regulatory approval, prior to commercialization. These efforts require additional capital, adequate personnel, infrastructure and extensive compliance-reporting capabilities. The Company’s research and development may not be successfully completed, adequate protection for the Company’s technology may not be obtained, the Company may not obtain necessary government regulatory approval on its expected timeline, or at all, and approved products may not prove commercially viable. The Company operates in an environment of rapid change in technology and competition. In addition, the Company is subject to risks and uncertainties related to its aviation transportation services, including, but not limited to, compliance with FAA regulations, pilot availability and operational disruptions.</w:t>
      </w:r>
    </w:p>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condensed consolidated financial statements include the accounts of the Company and its wholly owned subsidiaries. All intercompany accounts and transactions have been eliminated in consolidation.</w:t>
      </w:r>
    </w:p>
    <w:p>
      <w:pPr>
        <w:spacing w:after="0" w:line="179" w:lineRule="exact"/>
        <w:rPr>
          <w:sz w:val="20"/>
          <w:szCs w:val="20"/>
          <w:color w:val="auto"/>
        </w:rPr>
      </w:pPr>
    </w:p>
    <w:p>
      <w:pPr>
        <w:jc w:val="right"/>
        <w:ind w:right="7680"/>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29" w:lineRule="exact"/>
        <w:rPr>
          <w:sz w:val="20"/>
          <w:szCs w:val="20"/>
          <w:color w:val="auto"/>
        </w:rPr>
      </w:pPr>
    </w:p>
    <w:p>
      <w:pPr>
        <w:jc w:val="right"/>
        <w:ind w:right="760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and related notes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for the year ended December 31, 2025 included in the Company’s Annual Report on Form 10-K filed with the SEC. In the opinion of management, all adjustments, consisting only of normal recurring adjustments necessary for a fair statement of the Company’s financial position as of March 31, 2026 and results of operations for the three months ended March 31, 2026 and 2025 and cash flows for the three months ended March 31, 2026 and 2025 have been made. The Company’s results of operations for the three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months ended March 31, 2026 are not necessarily indicative of the results of operations that may be expected for the year ending December 31, 2026 or any other period.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unaudited condensed consolidated financial statements include, but are not limited to, revenue recognition, the valuation of inventory, the valuation of assets acquired and liabilities assumed in business combinations, including acquired intangible assets and the resulting goodwill, the valuation of stock-based awards and income taxes.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As of the date of issuance of these unaudited condensed consolidated financial statements, the Company is not aware of any specific event or circumstance that would require the Company to update estimates, judgments or revise the carrying value of any assets or liabilities. Actual results may differ from those estimates or assumptions.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of Concentrations of Credit, Significant Customers and Significant Suppliers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accounts receivable. The Company does not believe that it is subject to unusual credit risk beyond the normal credit risk associated with commercial banking relationships. As of March 31, 2026 and December 31, 2025, the Company had no allowance for credit losses. Significant customers are those that accounted for 10% or more of the Company’s revenue or accounts receivable. For the three months ended March 31, 2026 and 2025, no customer accounted for more than 10% of revenue. As of March 31, 2026 and December 31, 2025, no customer accounted for more than 10% of accounts receivable.</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Certain of the components and subassemblies included in the Company’s products are obtained from a sole source, a single source or a limited group of suppliers, as are sterilization services. Although the Company seeks to reduce dependence on those limited sources of suppliers, manufacturers and service providers, the partial or complete loss of certain of these sources could have a material adverse effect on the Company’s operating results, financial condition and cash flows and damage its customer relationships.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900" w:hanging="36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160" w:hanging="368"/>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values of the Company’s accounts receivable, accounts payable and accrued expenses approximate their fair values due to the short-term nature of these assets and liabilities. The carrying value of the Company’s long-term debt approximates its fair value (a level 2 measurement) at each balance sheet date due to its variable interest rate, which approximates a market interest rate. The Company’s 1.50% convertible senior notes due 2028 (the “Notes”) are carried at the face value less unamortized debt discount and issuance costs on the accompanying condensed consolidated balance sheets, and the fair value of the Notes is presented at each reporting period for disclosure purposes only (see Note 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Spare Parts Inventory</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Spare parts are used in aviation operations and are generally not for sale. Spare parts inventory is comprised of repairable and expendable spare aircraft parts, which are valued at the lower of cost or net realizable value, using the specific identification method. Storage costs and miscellaneous materials and supplies costs related to inventory or to support flight equipment are expensed as incurred. As of March 31, 2026 and December 31, 2025, spare parts inventory of $4.5 million and $4.7 million, respectively, is included within prepaid expenses and other current assets on the accompanying condensed consolidated balance sheets. The Company determines, based on the evidence that exists, whether or not it is appropriate to maintain a reserve for excess and obsolete spare parts inventory. The reserve is based on historical experience related to the disposal of inventory due to damage, physical deterioration, obsolescence, or other causes. As of March 31, 2026 and December 31, 2025, the Company had no allowance for spare parts excess and obsolescence.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each of the Company’s foreign subsidiaries is the currency of the local country. Assets and liabilities of the Company’s foreign subsidiaries are translated into U.S. dollars using the period-end exchange rates, and income and expense items are translated into U.S. dollars using average exchange rates in effect during each period. The effects of these foreign currency translation adjustments are included in accumulated other comprehensive income (loss), a separate component of stockholders’ equity.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also incurs transaction gains and losses resulting from intercompany transactions as well as transactions with customers or vendors denominated in currencies other than the functional currency of the legal entity in which the transaction is recorded. Realized and unrealized foreign currency transaction gains (losses) are included in the condensed consolidated statements of operations as a component of other income (expense). Realized and unrealized losses totaled $0.6 million for the three months ended March 31, 2026 and realized and unrealized gains totaled $0.5 million for the three months ended March 31, 2025.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to introduce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ASU 2025-05 is effective for annual reporting periods beginning after December 15, 2025 and interim periods within those annual periods, and this update is applied prospectively. The Company adopted this standard effective January 1, 2026 and applied the practical expedient to assets within its scope. The adoption did not have a material impact on the consolidated financial statements and related disclosures.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to improve financial reporting by requiring that public business entities disclose additional information about specific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financial statements at interim and annual reporting periods. ASU 2024-03 is effective for annual periods beginning after December 15, 2026, and interim reporting periods beginning after December 15, 2027, with early adoption permitted. ASU 2024-03 allows for adoption using either a prospective or retrospective method. The Company is currently assessing the impact of the adoption of this guidance on its consolidated financial statements.</w:t>
      </w:r>
    </w:p>
    <w:p>
      <w:pPr>
        <w:spacing w:after="0" w:line="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periods within those fiscal years, with early adoption permitted as of the beginning of a fiscal year. The amendments can be applied prospectively, retrospectively, or via a modified prospective transition method. The Company is currently assessing the impact of the adoption of this guidance on its consolidated financial statements.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ASU 2025-10 establishes authoritative guidance for accounting for government grants received by business entities, clarifies the appropriate accounting, in an effort to reduce diversity in practice, and increase consistency of application across business entities. ASU 2025-10 is effective for annual reporting periods beginning after December 15, 2028, and interim reporting periods within those annual reporting periods. Adoption of this guidance can be applied via a modified prospective approach, a modified retrospective approach, or a retrospective approach. Early adoption is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permitted. The Company is currently assessing the impact of the adoption of this guidance on its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Transplant aircraft</w:t>
            </w:r>
          </w:p>
        </w:tc>
        <w:tc>
          <w:tcPr>
            <w:tcW w:w="40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295,563</w:t>
            </w:r>
          </w:p>
        </w:tc>
        <w:tc>
          <w:tcPr>
            <w:tcW w:w="18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Transplant aircraft equipment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Flight school aircraft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OCS Consoles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trade show and training equipment</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(73,822)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(66,065)</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3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361,571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327,656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-3376930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-3376930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-453390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280" w:firstLine="55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total depreciation and amortization expense, including finance lease amortization (see Note 10), was $9.9 million and $6.1 million, respectively.</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capitalized costs associated with the development of internal-use software of $1.9 million and $1.8 million during the three months ended March 31, 2026 and 2025, respectively, and recorded amortization expense of $0.7 million during the three months ended March 31, 2026. There was no amortization recorded during the three months ended March 31, 2025 as internal-use software had not yet been placed in service. The net book value of internal-use software was $12.4 million and $11.2 million as of March 31, 2026 and December 31, 2025, respectively, of which $0.2 million and $0.1 million was included in construction-in-progress as of those respective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 of goodwill was $11.5 million as of March 31, 2026 and December 31, 2025, and related to the Company’s 2023 acquisition of Summit Aviation, Inc. and Northside Property Group, LLC. Goodwill is not amortized, but instead is reviewed for impairment at least annually or more frequently when events and circumstances occur indicating that the recorded goodwill may be impaired. To date, the Company has had no impairments to goodwill.</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updated its estimate of the remaining useful life of acquired intangible assets based on its determination that the remaining economic benefit was substantially realized. This change in estimated useful life resulted in the recognition of $1.9 million of incremental amortization expense within selling,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during the three months ended March 31, 2026. The carrying value of acquired intangible assets was zero as of March 31, 2026.</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Acquired intangible assets consisted of the following as of December 31,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20" w:type="dxa"/>
            <w:vAlign w:val="bottom"/>
          </w:tcPr>
          <w:p>
            <w:pPr>
              <w:spacing w:after="0"/>
              <w:rPr>
                <w:sz w:val="10"/>
                <w:szCs w:val="10"/>
                <w:color w:val="auto"/>
              </w:rPr>
            </w:pPr>
          </w:p>
        </w:tc>
        <w:tc>
          <w:tcPr>
            <w:tcW w:w="1160" w:type="dxa"/>
            <w:vAlign w:val="bottom"/>
            <w:gridSpan w:val="5"/>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20" w:type="dxa"/>
            <w:vAlign w:val="bottom"/>
            <w:tcBorders>
              <w:left w:val="single" w:sz="8" w:color="CFF0FC"/>
            </w:tcBorders>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20" w:type="dxa"/>
            <w:vAlign w:val="bottom"/>
            <w:tcBorders>
              <w:left w:val="single" w:sz="8" w:color="CFF0FC"/>
            </w:tcBorders>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lef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w w:val="99"/>
              </w:rPr>
              <w:t>Accrued expenses and other current liabilities consisted of the following (in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CFF0FC"/>
            </w:tcBorders>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8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28,443</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transportation costs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CFF0FC"/>
            </w:tcBorders>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clinical trials expenses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third-party surgeon costs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CFF0FC"/>
            </w:tcBorders>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right w:val="single" w:sz="8" w:color="CFF0FC"/>
            </w:tcBorders>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8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59,316</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9"/>
                <w:szCs w:val="19"/>
                <w:color w:val="auto"/>
              </w:rPr>
            </w:pPr>
          </w:p>
        </w:tc>
        <w:tc>
          <w:tcPr>
            <w:tcW w:w="24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62,740</w:t>
            </w:r>
          </w:p>
        </w:tc>
        <w:tc>
          <w:tcPr>
            <w:tcW w:w="10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CFF0FC"/>
            </w:tcBorders>
          </w:tcPr>
          <w:p>
            <w:pPr>
              <w:spacing w:after="0" w:line="20" w:lineRule="exact"/>
              <w:rPr>
                <w:sz w:val="1"/>
                <w:szCs w:val="1"/>
                <w:color w:val="auto"/>
              </w:rPr>
            </w:pPr>
          </w:p>
        </w:tc>
        <w:tc>
          <w:tcPr>
            <w:tcW w:w="4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Long-Term Debt and Financing Arrangements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Notes consisted of the following (in thousands):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CFF0FC"/>
            </w:tcBorders>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amount of convertible senior notes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459,996</w:t>
            </w:r>
          </w:p>
        </w:tc>
        <w:tc>
          <w:tcPr>
            <w:tcW w:w="12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459,996</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convertible senior notes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 w:type="dxa"/>
            <w:vAlign w:val="bottom"/>
            <w:tcBorders>
              <w:right w:val="single" w:sz="8" w:color="CFF0FC"/>
            </w:tcBorders>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of current portion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459,996</w:t>
            </w: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lef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459,996</w:t>
            </w:r>
          </w:p>
        </w:tc>
        <w:tc>
          <w:tcPr>
            <w:tcW w:w="10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discount, net</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(6,466)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tcBorders>
              <w:right w:val="single" w:sz="8" w:color="CFF0FC"/>
            </w:tcBorders>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of discount and current portion</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spacing w:after="0"/>
              <w:rPr>
                <w:sz w:val="19"/>
                <w:szCs w:val="19"/>
                <w:color w:val="auto"/>
              </w:rPr>
            </w:pPr>
          </w:p>
        </w:tc>
        <w:tc>
          <w:tcPr>
            <w:tcW w:w="52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453,530</w:t>
            </w:r>
          </w:p>
        </w:tc>
        <w:tc>
          <w:tcPr>
            <w:tcW w:w="120" w:type="dxa"/>
            <w:vAlign w:val="bottom"/>
            <w:tcBorders>
              <w:right w:val="single" w:sz="8" w:color="CFF0FC"/>
            </w:tcBorders>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452,804</w:t>
            </w:r>
          </w:p>
        </w:tc>
        <w:tc>
          <w:tcPr>
            <w:tcW w:w="10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CFF0FC"/>
            </w:tcBorders>
          </w:tcPr>
          <w:p>
            <w:pPr>
              <w:spacing w:after="0" w:line="20" w:lineRule="exact"/>
              <w:rPr>
                <w:sz w:val="1"/>
                <w:szCs w:val="1"/>
                <w:color w:val="auto"/>
              </w:rPr>
            </w:pPr>
          </w:p>
        </w:tc>
        <w:tc>
          <w:tcPr>
            <w:tcW w:w="4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-3908425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-3891280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-3908425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-3891280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-3908425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-3891280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-1868170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-1851025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-1868170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-1851025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estimated fair value of the Notes was $597.6 million. The fair value was determined based on the quoted price of the last trade of the Notes prior to the end of the reporting period in an inactive market, which is considered as Level 2 in the fair value hierarchy.</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May 11, 2023, the Company issued $460.0 million aggregate principal amount of the Notes, in a private placement to qualified institutional buyers pursuant to Rule 144A under the Securities Act, pursuant to an indenture dated May 11, 2023, by and between the Company and U.S. Bank Trust Company, National Association (the “Indenture”).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initial conversion price of the Notes is approximately $94.00 per share of common stock, which represents a premium of approximately 32.5% over the closing price of the Company’s common stock on May 8, 2023. The Notes will mature on June 1, 2028, unless earlier repurchased, redeemed or converted. The Company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w:t>
      </w: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4" w:name="page15"/>
    <w:bookmarkEnd w:id="14"/>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noteholders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Prior to June 8, 2026, the Notes will not be redeemable. On or after June 8, 2026, the Company may redeem for cash all or any portion of the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8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$2.5 million and $2.4 million, respectively, in interest expense related to the 1.50% cash coupon of the Notes and amortization of debt issuance costs. During each of the three months ended March 31, 2026 and 2025, the effective interest rate on the outstanding Notes was approximately 2.1%.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Notes, the Company entered into privately negotiated capped call transactions (the “Capped Calls”) with certain financial institution counterparties (the “Option Counterparties”). The Capped Calls are generally intended to reduce or offset the potential dilution to the common stock upon any conversion of the Notes with such reduction or offset, as the case may be, subject to a cap based on the cap price. For accounting purposes, the Capped Calls are separate transactions, and not part of the terms of the Notes. The Capped Calls are recorded in stockholders’ equity and are not accounted for as derivatives. The cost of $52.1 million incurred to purchase the Capped Calls was recorded as a reduction to common stock on the accompanying condensed consolidated balance sheets.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of the Capped Calls has an initial strike price of approximately $94.00 per share, subject to certain adjustments, which corresponds to the initial conversion price of the Notes. The Capped Calls have an initial cap price of $141.88 per share, subject to certain adjustments. The Capped Calls cover, subject to anti-dilution adjustments, approximately 4,893,848 shares of the Company’s common stock, which is the same number of shares of the Company’s common stock initially underlying the Notes. The Capped Calls are subject to automatic exercise over a 40 trading day period commencing on April 3, 2028, subject to earlier termination under certain circumstances.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Principal amount of long-term debt</w:t>
            </w:r>
          </w:p>
        </w:tc>
        <w:tc>
          <w:tcPr>
            <w:tcW w:w="26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discount, net</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debt, net of discount and current portion</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55"/>
        </w:trPr>
        <w:tc>
          <w:tcPr>
            <w:tcW w:w="580" w:type="dxa"/>
            <w:vAlign w:val="bottom"/>
          </w:tcPr>
          <w:p>
            <w:pPr>
              <w:spacing w:after="0"/>
              <w:rPr>
                <w:sz w:val="24"/>
                <w:szCs w:val="24"/>
                <w:color w:val="auto"/>
              </w:rPr>
            </w:pPr>
          </w:p>
        </w:tc>
        <w:tc>
          <w:tcPr>
            <w:tcW w:w="436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jc w:val="right"/>
              <w:ind w:right="15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560"/>
        </w:trPr>
        <w:tc>
          <w:tcPr>
            <w:tcW w:w="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-822325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-805180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-822325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July 2022, the Company entered into a credit agreement with Canadian Imperial Bank of Commerce (“CIBC”), as amended by the First Amendment to Credit Agreement, dated as of May 8, 2023, by and among the Company and CIBC, the Second Amendment to Credit Agreement, dated as of June 23, 2023, by and among the Company and CIBC and the Third Amendment to Credit Agreement, dated as of November 9, 2023, by and among the Company and CIBC (as amended, the “CIBC Credit Agreement”), pursuant to which the Company borrowed $60.0 million.</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Borrowings under the CIBC Credit Agreement bear interest at an annual rate equal to either, at the Company’s option, (i) the secured overnight financing rate for an interest period selected by the Company, subject to a minimum of 1.50%, plus 2.0% or (ii) 1.0% plus the higher of a) the prime rate subject to a minimum of 4.0% or b) the Federal Funds Effective Rate, plus 0.5%. The Company is obligated to repay the outstanding borrowings in equal monthly installments commencing in July 2026 with the remaining balance due on the maturity date in July 2027. At the Company’s option, the Company may prepay outstanding borrowings under the CIBC Credit Agreement, without a prepayment fee.</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All obligations under the CIBC Credit Agreement are guaranteed by the Company and each of its material subsidiaries. All obligations of the Company and each guarantor are secured by substantially all of the Company’s and each guarantor’s assets, including their intellectual property, subject to certain exceptions. Under the CIBC Credit Agreement, the Company has agreed to customary representations and warranties, events of default and certain affirmative and negative covenants to which it will remain subject until maturity. The financial covenants include, among other covenants, (x) a requirement to maintain a minimum liquidity amount of the greater of either (i) the consolidated adjusted EBITDA loss (or gain), as defined, for the trailing four month period (only if EBITDA is negative) and (ii) $10.0 million, and (y) a requirement to maintain total net revenue of at least 75% of the level set forth in the total revenue plan presented to CIBC.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the Company’s business), failure to comply with certain covenants and a material adverse change in the Company’s business, operations or financial condition. As of March 31, 2026, the Company was in compliance with all financial covenants of the CIBC Credit Agreement. 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the Company may be required to prepay outstanding borrowings, subject to certain exceptions, with portions of net cash proceeds of certain asset sales and certain casualty and condemnation events.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$0.9 million and $1.0 million, respectively, in interest expense related to the CIBC borrowings. During the three months ended March 31, 2026 and 2025, the weighted average effective interest rate on outstanding borrowings under the CIBC Credit Agreement was approximately 6.2% and 6.8%, respectively. As of March 31, 2026, the stated interest rate applicable to borrowings under the CIBC Credit Agreement was 5.7%.</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2019 Stock Incentive Plan (the “2019 Plan”) provides for the grant of incentive stock options, nonqualified stock options, stock appreciation rights, restricted stock, restricted stock units (“RSUs”), unrestricted stock, unrestricted stock units, and other stock-based awards to employees, directors, and consultants of the Company and its subsidiaries. The number of shares of common stock of TransMedics Group initially available for issuance under the 2019 Plan was 3,428,571 shares, plus the number of shares underlying awards under the previously outstanding 2014 Stock Incentive Plan (the “2014 Plan”), not to exceed 1,595,189 shares, that expire or are terminated, surrendered, or cancelled without the delivery of shares, are forfeited to or repurchased by TransMedics Group or otherwise become available again for grant. Since the effectiveness of the Company’s 2019 Plan in April 2019, no awards have been made or will be made under the 2014 Plan.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6" w:name="page17"/>
    <w:bookmarkEnd w:id="16"/>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Shares withheld in payment of the exercise or purchase price of an award or in satisfaction of tax withholding requirements, and the shares covered by a stock appreciation right for which any portion is settled in stock, will reduce the number of shares available for issuance under the 2019 Plan. In addition, the number of shares available for issuance under the 2019 Plan (i) will not be increased by any shares delivered under the 2019 Plan that are subsequently repurchased using proceeds directly attributable to stock option exercises and (ii) will not be reduced by any awards that are settled in cash or that expire, become unexercisable, terminate or are forfeited to or repurchased by TransMedics Group without the issuance of stock under the 2019 Plan. On May 25, 2023, the shareholders of the Company approved the Amended and Restated TransMedics Group, Inc. 2019 Stock Incentive Plan (the “Amended 2019 Plan”) to among other things, (i) increase the number of shares of the Company’s common stock available for issuance thereunder by 1,000,000 shares, (ii) prohibit the payment of dividend or dividend equivalents on a current basis with respect to unvested awards, (iii) extend the expiration date of the Amended 2019 Plan until June 1, 2033 and (iv) increase the annual limits on non-employee director compensation. As of March 31, 2026, 438,597 shares of common stock were available for issuance under the Amended 2019 Plan.</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2021, the Company’s board of directors approved the TransMedics Group, Inc. Inducement Plan (the “Inducement Plan”). Pursuant to the terms of the Inducement Plan, the Company may grant nonqualified stock options, stock appreciation rights, restricted stock, unrestricted stock, RSUs and performance awards to individuals who were not previously employees or directors of the Company or individuals returning to employment after a bona fide period of non-employment with the Company. A total of 1,000,000 shares of the Company’s common stock were initially available for issuance under the Inducement Plan. On November 2, 2023, the Company’s board of directors approved an increase of 500,000 to shares available under the Inducement Plan. As of March 31, 2026, 381,838 shares of common stock remained available for issuance under the Inducement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Pursuant to the Company’s 2019 Employee Stock Purchase Plan (the “2019 ESPP”), certain employees of the Company are eligible to purchase common stock of the Company at a reduced price during offering periods. The 2019 ESPP permits participants to purchase common stock using funds contributed through payroll deductions, subject to the limitations set forth in the Internal Revenue Code, at a purchase price of 85% of the lower of the closing price of the Company’s common stock on the first trading day of the offering period or the closing price on the applicable purchase date, which is the final trading day of the applicable offering period. A total of 371,142 shares of TransMedics Group common stock were initially reserved for issuance under the 2019 ESPP. During the three months ended March 31, 2026, 16,321 shares of common stock were issued under the 2019 ESPP and as of March 31, 2026, 157,939 shares of common stock remained available for issuance under the 2019 ESPP.</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options with service-based vesting for the purchase of an aggregate of 40,089 shares of common stock with a weighted average grant-date fair value of $89.49 per share.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26,549 RSUs with service-based vesting conditions and a weighted average grant-date fair value of $135.50 per share.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condensed consolidated statements of operations (in thousands):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32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120" w:type="dxa"/>
            <w:vAlign w:val="bottom"/>
          </w:tcPr>
          <w:p>
            <w:pPr>
              <w:spacing w:after="0"/>
              <w:rPr>
                <w:sz w:val="17"/>
                <w:szCs w:val="17"/>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Research, development and clinical trials</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0"/>
                <w:szCs w:val="20"/>
                <w:color w:val="auto"/>
              </w:rPr>
            </w:pP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44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cost related to unvested share-based awards was $59.1 million, which is expected to be recognized over a weighted average period of 2.3 years.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7" w:name="page18"/>
    <w:bookmarkEnd w:id="17"/>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Company recognized income tax benefits related to stock-based compensation expense of $3.8 million as a component in calculating its income taxes for the three months ended March 31, 2026. Income tax benefits related to stock-based compensation expense for the three months ended March 31, 2025 were fully offset by the valuation allowance against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Income per Share</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computed by dividing the net income by the weighted average number of shares of common stock outstanding for the period. Diluted net income per common share is computed by dividing net income by the weighted average number of shares of common stock outstanding for the period, including potential dilutive common shares assuming the dilutive effect of outstanding stock awards, using the treasury stock method, and outstanding convertible notes, using the if-converted method.</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dilutive net income per common share computations are as follows (in thousands, except share and per share amounts):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Add: Interest expense, net of tax, attributable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assumed conversion of convertible senior</w:t>
            </w:r>
          </w:p>
        </w:tc>
        <w:tc>
          <w:tcPr>
            <w:tcW w:w="3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average basic common shares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34,384,207</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33,721,603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4,893,805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1,496,026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307,303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40" w:type="dxa"/>
            <w:vAlign w:val="bottom"/>
            <w:tcBorders>
              <w:top w:val="single" w:sz="8" w:color="CFF0FC"/>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Weighted average dilutive common shares</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36,194,023</w:t>
            </w:r>
          </w:p>
        </w:tc>
        <w:tc>
          <w:tcPr>
            <w:tcW w:w="22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39,914,487</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outstanding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-2091055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-2073910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-2091055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-2073910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-693420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-693420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weighted average shares outstanding, from the computation of diluted net income per share because including them would have had an anti-dilutive effect: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56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17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4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4,893,805</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130,948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27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5,036,675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1,109,401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-968375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-968375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spacing w:after="0" w:line="14" w:lineRule="exact"/>
        <w:rPr>
          <w:sz w:val="20"/>
          <w:szCs w:val="20"/>
          <w:color w:val="auto"/>
        </w:rPr>
      </w:pPr>
    </w:p>
    <w:p>
      <w:pPr>
        <w:ind w:left="520" w:right="8420" w:hanging="512"/>
        <w:spacing w:after="0" w:line="376" w:lineRule="auto"/>
        <w:tabs>
          <w:tab w:leader="none" w:pos="2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Finance Lease</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Agreements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January 8, 2026, the Company entered into a lease agreement (the “Lease”) with BioMed Realty (the “Landlord”) for the lease of a building with approximately 498,286 square feet of space in Somerville, Massachusetts for the Company’s principal executive offices and for research and development, laboratory, manufacturing and assembly, vivarium, office and related uses (the “Premises”) to ultimately replace its existing headquarters in Andover, Massachusetts. The Lease expires in January 2044, unless earlier terminated (the “Initial Term”). Base rent begins to accrue in January 2028 at an annual rate of $23.9 million, and will increase by 2% annually during the first three years of the Initial Term and by 3% annually for each year thereafter. The Company will also be obligated to pay annual operating and tax expenses for the Premises. The Company holds two consecutive options to extend the term for additional periods of ten years each as well as an option to extend the term for a period of six months.</w:t>
      </w:r>
    </w:p>
    <w:p>
      <w:pPr>
        <w:spacing w:after="0" w:line="8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Lease includes a one-time purchase option for the Company to buy the Premises and associated parking spaces, exercisable by the Company at any time prior to November 2028. The purchase price is $374.6 million if the option is exercised on or before December 31, 2027; if exercised thereafter, the purchase price increases based on a formula tied to future payments. The Lease also provides for a tenant improvement allowance of $0.4 million.</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delivered a security deposit to the Landlord in the form of a letter of credit for $17.9 million, which is classified as restricted cash (non-current) on the condensed consolidated balance sheets.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Additionally, on January 8, 2026, the Company acquired two parcels adjacent to the Premises in Somerville, Massachusetts from the Landlord and an entity affiliated with the Landlord for $15.0 million each.</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accounted for the Lease and property purchases as one combined contract under ASC 842, Leases (Topic 842). Because the Lease grants the Company an option to purchase the underlying assets that the Company is reasonably certain to exercise, the Company classified the Lease as a finance lease. Accordingly, total consideration for the combined contract of $404.3 million, including the estimated payment to purchase the property under lease less the tenant improvement allowance and the payments to purchase the two properties was allocated to the Lease and property purchases based on relative standalone selling prices. The property purchases are included in land and building within property, plant and equipment on the condensed consolidated balance sheets (see Note 4).</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 finance lease right-of-use asset of $336.6 million as of the lease commencement date of January 8, 2026, representing the present value of the lease payments less the tenant improvement allowance and a tenant rebate of $3.7 million, allocated to the contract components.</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Because the interest rate implicit in the Lease was not readily determinable, the Company’s incremental borrowing rate of 4.4% was used to calculate the present value of the payments under the Lease. In determining its incremental borrowing rate, the Company considered its credit quality and assessed interest rates available in the market for similar borrowings for a similar term, adjusted for the impact of collateral.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finance lease cost under ASC 842 are as follows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Borders>
              <w:top w:val="single" w:sz="8" w:color="auto"/>
            </w:tcBorders>
            <w:shd w:val="clear" w:color="auto" w:fill="CFF0FC"/>
          </w:tcPr>
          <w:p>
            <w:pPr>
              <w:spacing w:after="0"/>
              <w:rPr>
                <w:sz w:val="18"/>
                <w:szCs w:val="18"/>
                <w:color w:val="auto"/>
              </w:rPr>
            </w:pPr>
          </w:p>
        </w:tc>
        <w:tc>
          <w:tcPr>
            <w:tcW w:w="2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20" w:type="dxa"/>
            <w:vAlign w:val="bottom"/>
            <w:tcBorders>
              <w:bottom w:val="single" w:sz="8" w:color="auto"/>
            </w:tcBorders>
            <w:shd w:val="clear" w:color="auto" w:fill="CFF0FC"/>
          </w:tcPr>
          <w:p>
            <w:pPr>
              <w:spacing w:after="0"/>
              <w:rPr>
                <w:sz w:val="18"/>
                <w:szCs w:val="18"/>
                <w:color w:val="auto"/>
              </w:rPr>
            </w:pP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Because the lease contains a purchase option which the Company is reasonably certain to exercise, the building is being amortized on a straight-line basis over its estimated useful life of 40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Future payments under the Lease, inclusive of the Company’s assumed exercise of the purchase option, as of March 31, 2026 were as follows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5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5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 (nine months)</w:t>
            </w:r>
          </w:p>
        </w:tc>
        <w:tc>
          <w:tcPr>
            <w:tcW w:w="316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374,590</w:t>
            </w:r>
          </w:p>
        </w:tc>
        <w:tc>
          <w:tcPr>
            <w:tcW w:w="100" w:type="dxa"/>
            <w:vAlign w:val="bottom"/>
          </w:tcPr>
          <w:p>
            <w:pPr>
              <w:spacing w:after="0"/>
              <w:rPr>
                <w:sz w:val="18"/>
                <w:szCs w:val="18"/>
                <w:color w:val="auto"/>
              </w:rPr>
            </w:pPr>
          </w:p>
        </w:tc>
      </w:tr>
      <w:tr>
        <w:trPr>
          <w:trHeight w:val="216"/>
        </w:trPr>
        <w:tc>
          <w:tcPr>
            <w:tcW w:w="1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35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35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374,590</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amount allocated to property purchases</w:t>
            </w:r>
          </w:p>
        </w:tc>
        <w:tc>
          <w:tcPr>
            <w:tcW w:w="1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5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imputed interest</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(26,375)</w:t>
            </w:r>
          </w:p>
        </w:tc>
      </w:tr>
      <w:tr>
        <w:trPr>
          <w:trHeight w:val="20"/>
        </w:trPr>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finance lease liability</w:t>
            </w:r>
          </w:p>
        </w:tc>
        <w:tc>
          <w:tcPr>
            <w:tcW w:w="3160" w:type="dxa"/>
            <w:vAlign w:val="bottom"/>
            <w:gridSpan w:val="2"/>
            <w:shd w:val="clear" w:color="auto" w:fill="CFF0FC"/>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343,829</w:t>
            </w:r>
          </w:p>
        </w:tc>
        <w:tc>
          <w:tcPr>
            <w:tcW w:w="100" w:type="dxa"/>
            <w:vAlign w:val="bottom"/>
            <w:shd w:val="clear" w:color="auto" w:fill="CFF0FC"/>
          </w:tcPr>
          <w:p>
            <w:pPr>
              <w:spacing w:after="0"/>
              <w:rPr>
                <w:sz w:val="19"/>
                <w:szCs w:val="19"/>
                <w:color w:val="auto"/>
              </w:rPr>
            </w:pP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09"/>
        <w:spacing w:after="0" w:line="313"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operating leases during the three months ended March 31, 2026. For additional information, please read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consolidated financial statements in the Company’s Form 10-K for the year ended December 31, 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has a defined-contribution savings plan under Section 401(k) of the Internal Revenue Code. This plan covers substantially all employees who meet minimum age and service requirements and allows participants to defer a portion of their compensation on a pre-tax basis. Company contributions to the plan may be made at the discretion of the board of directors. Effective January 1, 2023, the Company instituted an employer matching program for the plan pursuant to which the Company will match 100% of the first 3% of each participating employee’s eligible compensation contributed to the plan and 50% of up to an additional 2% each participating employee’s eligible compensation contributed to the plan. For the three months ended March 31, 2026 and 2025, the Company recorded expense of $1.5 million and $1.1 million, respectively, related to these matching contributions.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lessors, business partners, and other parties with respect to certain matters including, but not limited to, losses arising out of breach of such agreements, negligence or willful misconduct,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services as directors or officers.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March 31, 2026 and December 31,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Commitment</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an unconditional $9.5 million purchase commitment, in the ordinary course of business, for goods with specified annual minimum quantities to be purchased through December 2029. The contract is not cancellable without penalty. The remaining purchase commitment as of March 31, 2026 was $4.0 million.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February 14, 2025, a class action captioned Jewik v. TransMedics Group, Inc., et al., Case No. 1:25-cv-10385, was filed against the Company and certain of its current and former officers in the U.S. District Court for the District of Massachusetts. The complaint purported to assert claims pursuant to Sections 10(b) and 20(a) of the Securities Exchange Act of 1934 (the “Exchange Act”), as amended, and SEC Rule 10b-5 promulgated thereunder, seeking unspecified damages on behalf of a putative class of investors who purchased or otherwise acquired the Company’s shares between February 28, 2023 and January 10, 2025 (the “Class Period”). On April 2, 2025, another purported stockholder filed a putative class action lawsuit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0" w:name="page21"/>
    <w:bookmarkEnd w:id="2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against the Company and certain of its current and former officers, also in the U.S. District Court for the District of Massachusetts (Collins v. TransMedics Group, Inc., et al., Case No. 1:25-cv-10778). The Collins complaint alleged claims substantially similar to those alleged in the Jewik action and also sought unspecified damages. On May 22, 2025, the court consolidated the Jewik and Collins actions and appointed the Peace Officers’ Annuity and Benefit Fund of Georgia and Oguzhan Altun as lead plaintiffs (the “Lead Plaintiffs”).</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August 8, 2025, Lead Plaintiffs filed a consolidated amended complaint. Like the earlier-filed complaints, the amended complaint purports to assert claims pursuant to Sections 10(b) and 20(a) of the Exchange Act and Rule 10b-5, on behalf of a putative class of investors who purchased or otherwise acquired the Company’s shares during the Class Period. Lead Plaintiffs seek unspecified damages allegedly caused by purported misstatements and omissions contained in our 2022 Annual Report, certain earnings calls, and other public statements. The amended complaint claims these alleged statements and omissions operated to artificially inflate the price paid for our common stock during the Class Period. On October 7, 2025, defendants filed a motion to dismiss the amended complaint for failure to state a claim. Lead Plaintiffs filed their response to the motion on November 21, 2025, and defendants filed a reply in further support of their motion on December 22, 2025. The Company cannot anticipate when the court will rule on that motion.</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At this time, the Company is unable to predict the outcome of the class action litigation or reasonably estimate a range of possible losses. The Company expenses as incurred the costs related to such legal proceedings.</w:t>
      </w:r>
    </w:p>
    <w:p>
      <w:pPr>
        <w:spacing w:after="0" w:line="176" w:lineRule="exact"/>
        <w:rPr>
          <w:sz w:val="20"/>
          <w:szCs w:val="20"/>
          <w:color w:val="auto"/>
        </w:rPr>
      </w:pPr>
    </w:p>
    <w:p>
      <w:pPr>
        <w:ind w:left="520" w:right="8260" w:hanging="512"/>
        <w:spacing w:after="0" w:line="400" w:lineRule="auto"/>
        <w:tabs>
          <w:tab w:leader="none" w:pos="2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and Segment Information </w:t>
      </w:r>
      <w:r>
        <w:rPr>
          <w:rFonts w:ascii="Times New Roman" w:cs="Times New Roman" w:eastAsia="Times New Roman" w:hAnsi="Times New Roman"/>
          <w:sz w:val="17"/>
          <w:szCs w:val="17"/>
          <w:b w:val="1"/>
          <w:bCs w:val="1"/>
          <w:i w:val="1"/>
          <w:iCs w:val="1"/>
          <w:color w:val="auto"/>
        </w:rPr>
        <w:t>Disaggregated Revenue</w:t>
      </w: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related to OCS transplant by organ type and geographical area as it believes this presentation best depicts how the nature, amount, timing and uncertainty of the Company’s revenue and cash flows are affected by economic factors, as shown below (in thousands):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33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OCS transplant revenue by country</w:t>
            </w:r>
          </w:p>
        </w:tc>
        <w:tc>
          <w:tcPr>
            <w:tcW w:w="1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by organ(1)(2):</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Lung total revenue</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6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Heart total revenue</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Liver total revenue</w:t>
            </w:r>
          </w:p>
        </w:tc>
        <w:tc>
          <w:tcPr>
            <w:tcW w:w="1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138,970</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United States OCS</w:t>
            </w:r>
          </w:p>
        </w:tc>
        <w:tc>
          <w:tcPr>
            <w:tcW w:w="1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167,024</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138,617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transplant revenue</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Lung revenue</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Heart revenue</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Liver revenue</w:t>
            </w:r>
          </w:p>
        </w:tc>
        <w:tc>
          <w:tcPr>
            <w:tcW w:w="1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all other countries OCS</w:t>
            </w:r>
          </w:p>
        </w:tc>
        <w:tc>
          <w:tcPr>
            <w:tcW w:w="120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transplant revenue</w:t>
            </w:r>
          </w:p>
        </w:tc>
        <w:tc>
          <w:tcPr>
            <w:tcW w:w="1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OCS transplant revenue</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172,672</w:t>
            </w:r>
          </w:p>
        </w:tc>
        <w:tc>
          <w:tcPr>
            <w:tcW w:w="14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-1276985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-1276985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900" w:right="48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country is categorized based on the location of the end customer. Total OCS transplant revenue includes product and service revenue.</w:t>
      </w:r>
    </w:p>
    <w:p>
      <w:pPr>
        <w:ind w:left="900" w:right="360" w:hanging="383"/>
        <w:spacing w:after="0" w:line="26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unrelated to OCS transplant, which was $1.3 million and $0.9 million, respectively, for the three months ended March 31, 2026 and 2025, is not included in this table.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Payments to Customers</w:t>
      </w:r>
    </w:p>
    <w:p>
      <w:pPr>
        <w:spacing w:after="0" w:line="121"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its clinical trials, the Company makes payments to customers to reimburse the cost of clinical trial materials and other costs incurred by customers in executing specified clinical trial protocols related to the Company’s OCS products. The Company evaluates the appropriate accounting treatment for these payments based on their nature, including whether the payments are in exchange for distinct goods or services.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1" w:name="page22"/>
    <w:bookmarkEnd w:id="21"/>
    <w:p>
      <w:pPr>
        <w:ind w:firstLine="509"/>
        <w:spacing w:after="0" w:line="261" w:lineRule="auto"/>
        <w:rPr>
          <w:sz w:val="20"/>
          <w:szCs w:val="20"/>
          <w:color w:val="auto"/>
        </w:rPr>
      </w:pPr>
      <w:r>
        <w:rPr>
          <w:rFonts w:ascii="Times New Roman" w:cs="Times New Roman" w:eastAsia="Times New Roman" w:hAnsi="Times New Roman"/>
          <w:sz w:val="18"/>
          <w:szCs w:val="18"/>
          <w:color w:val="auto"/>
        </w:rPr>
        <w:t>Payments that do not represent consideration for a distinct good or service received from the customer at fair value are recorded as a reduction of revenue. The Company recognizes such reductions of revenue and the related accrual in the same period in which the associated revenue is recognized. The Company updates its estimates of these accruals as additional information becomes available, with a corresponding adjustment to revenue. For each of the three months ended March 31, 2026 and 2025, the impact of adjustments to revenue related to these payments was not material.</w:t>
      </w:r>
    </w:p>
    <w:p>
      <w:pPr>
        <w:spacing w:after="0" w:line="7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Payments that represent consideration for distinct goods or services received from the customer, and for which the consideration reflects the fair value of those goods or services, are recorded as operating expenses. For the three months ended March 31, 2026 and 2025, the Company recorded $2.2 million and $1.3 million, respectively, as operating expenses related to these payments.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Operating segments are defined as components of an enterprise for which separate financial information is regularly evaluated by the Company’s chief operating decision maker, or decision-making group (the “CODM”), in deciding how to allocate resources and assess performance. The CODM of the Company is the Chief Executive Officer. The CODM assesses performance and allocates resources based on the Company’s consolidated statements of operations and the Company’s operations are managed on a consolidated basis to decide where to allocate and invest additional resources within the business to continue growth. The CODM also utilizes the consolidated balance sheet for resource allocation and segment asset information is not provided to the CODM to allocate resources.</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single reportable segment entity, the Company’s segment performance measure is net income (loss). Significant segment expenses, as provided to the CODM, are presented below (in thousands):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173,933</w:t>
            </w:r>
          </w:p>
        </w:tc>
        <w:tc>
          <w:tcPr>
            <w:tcW w:w="13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143,537</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net product revenue</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development and clinical trials: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Personnel related (including stock-based</w:t>
            </w: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Pr>
          <w:p>
            <w:pPr>
              <w:spacing w:after="0"/>
              <w:rPr>
                <w:sz w:val="20"/>
                <w:szCs w:val="20"/>
                <w:color w:val="auto"/>
              </w:rPr>
            </w:pP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Laboratory supplies and research materials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Consulting and third-party services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Clinical trials costs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and IT related and other</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Personnel related (including stock-based</w:t>
            </w: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tcPr>
          <w:p>
            <w:pPr>
              <w:spacing w:after="0"/>
              <w:rPr>
                <w:sz w:val="20"/>
                <w:szCs w:val="20"/>
                <w:color w:val="auto"/>
              </w:rPr>
            </w:pP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NOP support</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Tradeshows and conferences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and IT related and other</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Headquarters relocation costs</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segment items(1)</w:t>
            </w:r>
          </w:p>
        </w:tc>
        <w:tc>
          <w:tcPr>
            <w:tcW w:w="14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r>
      <w:tr>
        <w:trPr>
          <w:trHeight w:val="230"/>
        </w:trPr>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3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00" w:type="dxa"/>
            <w:vAlign w:val="bottom"/>
            <w:shd w:val="clear" w:color="auto" w:fill="CFF0FC"/>
          </w:tcPr>
          <w:p>
            <w:pPr>
              <w:spacing w:after="0"/>
              <w:rPr>
                <w:sz w:val="19"/>
                <w:szCs w:val="19"/>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900" w:right="76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interest income, interest expense, foreign currency exchange gains and losses and income taxes. See the condensed consolidated financial statements for other financial information regarding the Company’s operating segment.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Substantially all of the Company’s tangible long-lived assets are located in the United States.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2" w:name="page23"/>
    <w:bookmarkEnd w:id="22"/>
    <w:p>
      <w:pPr>
        <w:ind w:left="520" w:right="7940" w:hanging="512"/>
        <w:spacing w:after="0" w:line="378" w:lineRule="auto"/>
        <w:tabs>
          <w:tab w:leader="none" w:pos="28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b w:val="1"/>
          <w:bCs w:val="1"/>
          <w:i w:val="1"/>
          <w:iCs w:val="1"/>
          <w:color w:val="auto"/>
        </w:rPr>
        <w:t>Employment of Dr. Amira Hassanein</w:t>
      </w: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Dr. Amira Hassanein, who serves as Product Director for the Company’s OCS Lung program, is the sister of Dr. Waleed Hassanein, the Company’s President and Chief Executive Officer and a member of the Company’s board of directors. The Company paid Dr. Amira Hassanein $0.3 million and $0.4 million in total compensation for the three months ended March 31, 2026 and 2025, respectively, for her services as an 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income tax expense of $1.2 million by applying a forecasted annual effective tax rate to year-to-date pretax income, and adjusting for discrete items occurring in the quarter. The Company’s forecasted annual effective tax rate may vary from period to period based on many factors including changes in management’s forecast, changes to federal, state or foreign tax laws, and deductibility of certain expenses. During the three months ended March 31, 2026, the Company recorded an out-of-period adjustment to reduce deferred tax assets and increase income tax expense by $2.5 million. This adjustment was not material for the year ended December 31, 2025.</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of 14% for the three months ended March 31, 2026 differed from the statutory federal corporate tax rate of 21% primarily due to discrete items occurring during the quarter, consisting of excess tax benefits from stock-based compensation, which decreased the effective tax rate, partially offset by state taxes and the effect of non-deductible expenses, which increased the effective tax rate.</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amounts for unrecognized tax benefits as of March 31, 2026 or December 31, 2025. As of March 31, 2026 and December 31, 2025, the Company had no accrued interest or tax penalties recorded.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income tax expense of $1.0 million related primarily to state taxes. Until the fourth quarter of 2025, the Company maintained a valuation allowance on its overall net deferred tax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2025, as filed with the SEC on February 24, 2026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“Item 1A. Risk Factors” section of this Quarterly Report on Form 10-Q and the “Item 1A. Risk Factors” section of our 2025 Form 10-K, our actual results could differ materially from the results described in or implied by the forward-looking statements contained in the following discussion and analysis.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medical technology company transforming organ transplant therapy for end-stage organ failure patients across multiple disease states. We developed the OCS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NOP, an innovative turnkey solution to provide outsourced organ procurement, OCS perfusion management and transplant logistics services, to provide transplant programs in the United States with a more efficient process to procure donor organs with the OCS. Our transplant logistics services include aviation transportation, ground transportation, and other coordination activity. We believe the use of the OCS combined with the NOP has the potential to significantly increase the number of organ transplants and improve post-transplant outcomes.</w:t>
      </w:r>
    </w:p>
    <w:p>
      <w:pPr>
        <w:spacing w:after="0" w:line="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designed the OCS to be a platform that allows us to leverage core technologies across products for multiple organs. To date, we have developed three OCS products, one for each of heart, lung and liver transplantations, making the OCS the only FDA approved, portable, multi-organ, warm perfusion technology platform. All three of our products, OCS Heart, OCS Lung and OCS Liver, have received Pre-Market Approval from the FDA, for both organs donated after brain death, or DBD organs, and organs donated after circulatory death, or DCD organs.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resources on designing, developing and building our proprietary OCS technology platform and organ-specific OCS products; obtaining clinical evidence for the safety and effectiveness of our OCS products through clinical trials; securing regulatory approval; organizing and staffing our company; planning our business; raising capital; commercializing our products; developing and growing our NOP; developing and expanding our market and distribution chain and providing general and administrative support for these operations. To date, we have funded our operations primarily with proceeds from borrowings under loan agreements, proceeds from the issuance of the Notes, proceeds from the sale of common stock in our public offerings, and revenue from commercial sales of our OCS products and NOP services and from sales of our OCS products for use in clinical trials.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2024, we had incurred significant annual operating losses since inception and we have only recently achieved profitability. Our ability to generate revenue sufficient to achieve sustained profitability will depend on the continued commercial sales of our products and services. We generated total revenue of $173.9 million and $143.5 million, and net income of $7.3 million and $25.7 million, for the three months ended March 31, 2026 and 2025, respectively. As of March 31, 2026, we had an accumulated deficit of $270.6 million. We expect our operating and capital expenditures will continue to increase as we focus on growing commercial sales of our products in both the United States and select non-U.S. markets. Because of the numerous risks and uncertainties associated with product development, commercialization and regulations of our industry, we are unable to accurately predict the timing or amount of increased expenses or if we will be able to maintain profitability. Until such time, if ever, as we can generate substantial revenue sufficient to achieve sustained profitability, we may finance our operations through a combination of equity offerings, debt financings and strategic alliances. We may be unable to raise additional funds or enter into such other agreements or arrangements when needed on favorable terms or at all. If we are unable to raise capital or enter into such agreements as, and when, needed, we will have to delay, scale back or discontinue the further development and commercialization efforts of one or more of our products, or may be forced to terminate our operations.</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United Network for Organ Sharing, or UNOS, operated the OPTN under a sole-vendor federal contract from 1986 until 2024. In March 2023, the U.S. Department of Health and Human Services’ Health Resources and Services Administration, or HRSA, announced initiatives designed to improve the OPTN, including its intent to solicit contract proposals to manage the OPTN under a multi-vendor model following the expiration of the sole-vendor contract between UNOS and HRSA on March 29, 2024. Additionally, in September 2023, the Securing the U.S. Organ Procurement and Transplantation Network Act was signed into law. This legislation expressly authorizes HRSA to award multiple grants,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4" w:name="page25"/>
    <w:bookmarkEnd w:id="24"/>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contracts or cooperative agreements to support the operation of the OPTN. It also specifies that the awards to operate the OPTN shall be distinct from awards to support the networks’ board of directors. In September 2024, HRSA began awarding contracts aimed at supporting the multi-vendor model.</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HRSA has consistently exercised options to extend the contract for UNOS to operate OPTN, albeit in a more limited capacity, since March 2024. Most recently, in December 2025, HRSA and UNOS reached a new agreement that took effect on December 30, 2025. This contract allows HRSA to extend UNOS’ work for up to 12 months, until December 29, 2026, structured as four optional three-month periods. The new agreement reflects a shift of several former UNOS functions, including patient safety, reporting and tracking of donor-derived transmission events, and committee support, to HRSA or other contractors.</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HRSA continues to implement efforts to improve and modernize the OPTN, including enhancements to patient data on organ procurement, expanded transparency through a publicly accessible data dashboard for allocation out of sequence (AOOS) events, expanded outreach and financial support for living organ donors, and a new OPTN fee collection process whereby HRSA directly collects and distributes patient registration fees under authorities originally granted by the 2025 Full-Year Continuing Appropriations and Extensions Act and extended by the 2026 Continuing Appropriations, Agriculture, Legislative Branch, Military Construction and Veterans Affairs, and Extensions Act. The impact that HRSA’s initiatives and the U.S. Organ Procurement and Transplantation Network Act may have on our business, including on our NOP, is uncertain at this time.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Economic Impacts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Inflation, changes in trade policies, and the imposition of or changes in the amount of duties and tariffs have and could continue to adversely impact the price or availability of raw materials, the components of our products as well as shipping and transportation costs. For example, tariffs related to a small portion of components that we import moderately increased our cost of revenue in 2025. The global economy has experienced extreme volatility and disruptions, including significant volatility in commodity, other material and labor costs, declines in consumer confidence, declines in economic growth, supply chain interruptions, uncertainty about economic stability and record inflation globally. Unfavorable economic conditions have and could continue to result in a variety of risks to our business, including impacts on demand and pricing for our products and pricing and availability of raw materials and components for our products, which could make it difficult to forecast our inventory needs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generate net product revenue primarily from sales of our single-use, organ-specific disposable sets used on our organ-specific OCS Consoles. To a lesser extent, we also generate product revenue from the sale of OCS Consoles to customers and the implied rental of OCS Consoles loaned to customers at no charge. For each new transplant procedure, customers purchase an additional OCS disposable set for use on their existing organ-specific OCS Console. We also generate service revenue by providing outsourced organ procurement, OCS perfusion management and transplant logistics services under our NOP in the United States.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All of our OCS transplant-related revenue has been generated by sales to transplant centers and Organ Procurement Organizations, not-for-profit organizations responsible for recovering organs from deceased donors for transplantation, in the United States, Europe and Asia-Pacific, or, in some cases, to distributors selling to transplant centers in select countries. Substantially all of our customer contracts have multiple-performance obligations that contain promises consisting of OCS Perfusion Sets and OCS Solutions and may also contain promises for organ procurement, OCS perfusion management or transplant logistics services under our NOP, and OCS Console, whether sold or loaned to the customer.</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sales outside of the United States have been commercial sales (unrelated to any clinical trials). Sales in the EU are dependent on obtaining and maintaining the Conformité Européene mark, or CE mark, certifications for each of our OCS products. As required by Regulation (EU) 2017/745, or the MDR, we received recertification of the CE mark in September 2022 for each of the OCS Heart and OCS Lung systems, which includes the OCS Console, the OCS disposables, and the OCS solution additives. We also received the recertification of the CE mark in September 2022 for the OCS Liver Console and disposables. We received the CE mark for the OCS Liver combined with our solution additives under the MDR in May 2023, with an effective date of April 2023. In addition, we received a Class II Medical Device License from Health Canada for our OCS Liver combined with our solution additives in October 2023 to complement our existing Health Canada licenses for OCS Heart and OCS Lung.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revenue will increase over the long term as a result of the continued growth of the NOP in the United States. We also expect that our revenue will increase over the long term as a result of anticipated growth in non-U.S. sales if national healthcare systems begin to reimburse transplant centers for the use of the OCS, if transplant centers utilize the OCS in more transplant cases and if more transplant centers adopt the OCS in their programs. While we expect our revenue to increase over the long term, revenue from sales may fluctuate from quarter to quarter as the timing of organ transplant procedures is generally unpredictable, and we have observed periodic fluctuations in the availability of donor organs and transplant center surgeons, which impacts the volume of transplants.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Cost of net product revenue consists of costs of components of our OCS Consoles and disposable sets, costs of direct materials, labor and the manufacturing overhead that directly supports production and depreciation of OCS Consoles. Included in the cost of OCS disposable sets are the costs of our OCS Lung, OCS Heart and OCS Liver Solutions. Cost of service revenue primarily consists of labor and overhead that directly support organ procurement and OCS perfusion management services and transportation and transplant logistics costs, including labor costs for pilots, aircraft depreciation, aircraft costs, fuel, crew travel, maintenance and third-party flight costs and ground transportation that support organ delivery.</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Gross profit is the amount by which revenue exceeds cost of revenue in each reporting period and gross margin is gross profit divided by revenue. Our overall gross margin is impacted by the relative mix of product and service revenue, as product and service revenue have different margin profiles. Product and service gross margins are also affected by a variety of factors, primarily production volumes, the cost of components and direct materials, manufacturing overhead costs, direct labor, the cost of services provided under the NOP and the selling price of our OCS products and NOP services.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that overall cost of revenue will increase or decrease in absolute dollars primarily as, and to the extent that, our revenue increases or decreases. We expect that the cost of net product revenue as a percentage of net product revenue will moderately decrease and gross margin and gross profit will moderately increase over the long term as our sales and production volumes increase and our cost per unit of our OCS disposable sets decreases due to economies of scale, our product enhancements and improved manufacturing efficiency. We intend to use our design, engineering and manufacturing capabilities to further advance and improve the efficiency of our manufacturing processes, which we believe will reduce costs and increase our product gross margin. We also expect to see modest improvements in the future in our services gross margin as we provide more services and the efficiency in provisioning of these services improves due to scale and experience, including effectively managing fluctuating aircraft fuel prices. While we expect our gross margins to increase over the long term, they will likely fluctuate from quarter to quarter.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Development and Clinical Trials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development and clinical trials expenses consist of costs incurred for research activities, product development, hardware and software engineering and clinical trial activities, including salaries and related costs, including stock-based compensation, facility and IT related costs, laboratory supplies, depreciation, testing, regulatory, data management and consulting costs.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development and clinical trials costs as incurred. In the future, we expect that research, development and clinical trials expenses will increase over the long term due to ongoing product development and approval efforts. We expect to continue to perform activities related to obtaining additional regulatory approvals for expanded indications in the United States and other served geographies, as well as developing the next generation of our OCS technology platform.</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including stock-based compensation, for personnel in our commercial team and personnel in executive, marketing, finance and administrative functions, and recruiting and temporary service fees for such personnel. Selling, general and administrative expenses also include direct and allocated facility and IT related costs, costs to support the NOP, promotional activities, marketing, conferences and trade show costs as well as professional fees for legal, patent, consulting, investor and public relations, accounting and audit services and amortization of sales and marketing-related intangible assets. We expect that our selling, general and administrative expenses will increase over the long term as we increase our headcount and infrastructure to support the expected continued sales growth of our OCS products and our NOP.</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expense associated with outstanding borrowings under our loan agreement and our Notes as well as the amortization of debt discounts associated with such agreements. In July 2022, we entered into a credit agreement with Canadian Imperial Bank of Commerce, or CIBC, under which we borrowed $60.0 million. In May 2023, we issued and sold $460.0 million in aggregate principal amount of our Notes. Interest expense also includes imputed interest on our finance lease entered into in January 2026.</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and Other Income (Expense), Net</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income and other income (expense), net includes interest income, realized and unrealized foreign currency transaction gains and losses and other non-operating income and expense items unrelated to our core operations. Interest income consists of interest earned on our cash balances. Foreign currency transaction gains and losses result from intercompany transactions as well as transactions with customers or vendors denominated in currencies other than the functional currency of the legal entity in which the transaction is recorded.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(provision) benefit for income taxes is based on applying our forecasted annual effective tax rate to year-to-date income before income taxes, and adjusting for discrete items occurring in the quarter. Our forecasted annual effective tax rate may vary from period to period based on many factors including changes in management’s forecast, deductibility of certain expenses and changes to tax laws.</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release of our valuation allowance in the fourth quarter of 2025, we expect an increase to our income tax rate in 2026. To the extent allowed, we intend to use our available net operating loss carryforwards and tax credits to reduce cash tax payment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00" w:type="dxa"/>
            <w:vAlign w:val="bottom"/>
            <w:tcBorders>
              <w:bottom w:val="single" w:sz="8" w:color="auto"/>
            </w:tcBorders>
            <w:gridSpan w:val="5"/>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product revenue</w:t>
            </w:r>
          </w:p>
        </w:tc>
        <w:tc>
          <w:tcPr>
            <w:tcW w:w="162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65,961</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173,933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net product revenue</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48,464</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cost of revenue</w:t>
            </w:r>
          </w:p>
        </w:tc>
        <w:tc>
          <w:tcPr>
            <w:tcW w:w="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101,161</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development and clinical trials</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87,864</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(14,146)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(7,170)</w:t>
            </w:r>
          </w:p>
        </w:tc>
        <w:tc>
          <w:tcPr>
            <w:tcW w:w="2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expense, net</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(4,812)</w:t>
            </w:r>
          </w:p>
        </w:tc>
        <w:tc>
          <w:tcPr>
            <w:tcW w:w="2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vMerge w:val="continue"/>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(18,191)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0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(18,367)</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520" w:type="dxa"/>
            <w:vAlign w:val="bottom"/>
          </w:tcPr>
          <w:p>
            <w:pPr>
              <w:spacing w:after="0"/>
              <w:rPr>
                <w:sz w:val="24"/>
                <w:szCs w:val="24"/>
                <w:color w:val="auto"/>
              </w:rPr>
            </w:pPr>
          </w:p>
        </w:tc>
        <w:tc>
          <w:tcPr>
            <w:tcW w:w="41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-3385820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-3385820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-3385820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-2819400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-2819400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-2819400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-2527935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-2527935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-2527935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-1962150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-1962150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-1962150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-1396365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-1396365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-1396365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-822325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-805180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-822325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-805180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-822325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-805180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 transplant-related revenue consisted of:</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540" w:type="dxa"/>
            <w:vAlign w:val="bottom"/>
            <w:tcBorders>
              <w:bottom w:val="single" w:sz="8" w:color="auto"/>
            </w:tcBorders>
            <w:gridSpan w:val="5"/>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OCS transplant revenue by country by organ: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Lung total revenue</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Heart total revenue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Liver total revenue</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108,715</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United States OCS transplant revenue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Lung total revenue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Heart total revenue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Liver total revenue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1"/>
        </w:trPr>
        <w:tc>
          <w:tcPr>
            <w:tcW w:w="46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all other countries OCS transplant</w:t>
            </w:r>
          </w:p>
        </w:tc>
        <w:tc>
          <w:tcPr>
            <w:tcW w:w="10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2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OCS transplant revenue</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-1148080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-1148080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also had service revenue unrelated to OCS transplant of $1.3 million and $0.9 million for the three months ended March 31, 2026 and 2025, respectively.</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from customers in the United States related to OCS transplant was $167.0 million in the three months ended March 31, 2026 and increased by $28.4 million compared to the three months ended March 31, 2025, due to higher sales volumes of our OCS Liver disposable sets and increased usage of the NOP. Revenue for each organ in the table above includes net product revenue from sales of disposable sets as well as service revenue for organ procurement, OCS perfusion management and transplant logistics services under the NOP in the United States.</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outside the United States was $5.6 million and $4.1 million for the three months ended March 31, 2026 and 2025, respectively. The increase was due primarily to higher sales volumes of our OCS Heart disposable sets.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Cost of net product revenue increased by $8.0 million in the three months ended March 31, 2026 compared to the three months ended March 31, 2025. Cost of service revenue increased by $9.5 million in the three months ended March 31, 2026 compared to the three months ended March 31, 2025. Gross profit increased by $12.9 million in the three months ended March 31, 2026 compared to the three months ended March 31, 2025.</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Overall gross margin was 58% and 61% for the three months ended March 31, 2026 and 2025, respectively. The decrease in gross margin from 2025 to 2026 was driven primarily by the decrease in gross margin from product revenue. Gross margin from net product revenue was 77% and 82% for the three months ended March 31, 2026 and 2025, respectively. Gross margin from net product revenue decreased from the three months ended March 31, 2025 to the three months ended March 31, 2026 primarily due to product mix and higher freight costs. Gross margin from service revenue was 27% and 29% for the three months ended March 31, 2026 and 2025, respectively, and consisted primarily of organ procurement, OCS perfusion management and transplant logistics services under our NOP. Gross margin from service revenue decreased during the three months ended March 31, 2026 as compared to the three months ended March 31, 2025 primarily due to increased labor expenses.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Development and Clinical Trials Expenses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540" w:type="dxa"/>
            <w:vAlign w:val="bottom"/>
            <w:tcBorders>
              <w:bottom w:val="single" w:sz="8" w:color="auto"/>
            </w:tcBorders>
            <w:gridSpan w:val="5"/>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Personnel related (including stock-based</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08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Laboratory supplies and research materials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Consulting and third-party services</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 trials costs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and IT related and other</w:t>
            </w: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research, development and clinical</w:t>
            </w:r>
          </w:p>
        </w:tc>
        <w:tc>
          <w:tcPr>
            <w:tcW w:w="1080" w:type="dxa"/>
            <w:vAlign w:val="bottom"/>
            <w:vMerge w:val="restart"/>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trials expenses</w:t>
            </w:r>
          </w:p>
        </w:tc>
        <w:tc>
          <w:tcPr>
            <w:tcW w:w="10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-281940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-281940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Total research, development and clinical trials expenses increased by $7.7 million from $17.2 million in the three months ended March 31, 2025 to $24.9 million in the three months ended March 31, 2026. Personnel related costs increased by $2.2 million primarily due to increased headcount to support development efforts for our next generation OCS program and overall compensation increases. Personnel related costs included stock-based compensation expense of $1.5 million and $1.3 million for the three months ended March 31, 2026 and 2025, respectively. Consulting and third-party services costs increased by $4.2 million due to development efforts by our external development consultants for our next generation OCS program and other product development, including our kidney transport system. Facility and IT related and other costs increased by $1.5 million from the three months ended March 31, 2025 to the three months ended March 31, 2026 due primarily to the increased cost of supporting a larger group of research and development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540" w:type="dxa"/>
            <w:vAlign w:val="bottom"/>
            <w:tcBorders>
              <w:bottom w:val="single" w:sz="8" w:color="auto"/>
            </w:tcBorders>
            <w:gridSpan w:val="5"/>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Personnel related (including stock-based</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08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NOP support</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Tradeshows and conferences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and IT related and other</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1080" w:type="dxa"/>
            <w:vAlign w:val="bottom"/>
            <w:vMerge w:val="restart"/>
            <w:shd w:val="clear" w:color="auto" w:fill="CFF0FC"/>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20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5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shd w:val="clear" w:color="auto" w:fill="CFF0FC"/>
          </w:tcPr>
          <w:p>
            <w:pPr>
              <w:ind w:left="30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08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Total selling, general and administrative expenses increased by $19.4 million from $43.6 million in the three months ended March 31, 2025 to $63.0 million in the three months ended March 31, 2026 due primarily to increases in personnel related costs and professional and consultant fees, as well as increases in facility related and other and depreciation and amortization expense. Personnel related costs increased by $6.4 million primarily due to the continued expansion of our team to support the growth in our business. Personnel related costs included stock-based compensation expense of $8.1 million and $7.3 million for the three months ended March 31, 2026 and 2025, respectively. Professional and consultant fees increased by $4.6 million due primarily to increased transaction-related costs of $2.7 million related to strategic initiatives and corporate development activities, and to process improvement initiatives and market research costs related to international expansion. Professional and consultant fees also included $0.2 million related to headquarters relocation. Facility and IT related and other costs increased by $3.5 million due primarily to increases in IT infrastructure and travel costs. Depreciation and amortization expense increased by $4.8 million primarily due to $2.1 million of amortization of our finance lease for our new headquarters that commenced in January 2026 and $1.9 million of incremental amortization due to a change in estimated useful life of acquired intangible assets.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expense was $7.2 million and $3.5 million for the three months ended March 31, 2026 and 2025, respectively. Interest expense of $2.5 million and $2.4 million for the three months ended March 31, 2026 and 2025, respectively, related to the $460.0 million principal amount of the Notes that carry a 1.5% interest rate. Interest expense of $0.9 million and $1.0 million for the three months ended March 31, 2026 and 2025, respectively, related to the $60.0 million principal amount of the CIBC loan that carries a variable interest rate, which was 5.7% as of March 31, 2026. Additionally, for the three months ended March 31, 2026, interest expense included $3.8 million of imputed interest on our finance lease entered into in January 2026.</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and Other Income (Expense), Net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Interest income and other income (expense), net for the three months ended March 31, 2026 and 2025 included interest income of $2.7 million and $2.3 million, respectively, from interest earned on cash balances. Interest income and other income (expense), net for the three months ended March 31, 2026 and 2025 also included $0.6 million of realized and unrealized foreign currency transactions losses and $0.5 million of realized and unrealized foreign currency transactions gains, respectively.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 of 14% for the three months ended March 31, 2026 differed from the statutory federal corporate tax rate of 21% primarily due to discrete items occurring during the quarter, primarily excess tax benefits from stock-based compensation, which decreased the effective tax rate, partially offset by state taxes and the effect of non-deductible expenses, which increased the effective tax rate.</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income tax expense consisted primarily of state income taxes. Until the fourth quarter of 2025, we maintained a valuation allowance on our overall net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Prior to 2024, we had incurred significant annual operating losses since inception and we may incur losses in the future. To date, we have funded our operations primarily with proceeds from borrowings under loan agreements, proceeds from the issuance of our Notes, proceeds from the sale of common stock in our public offerings and revenue from commercial sales of our OCS products and NOP services and from sales of our OCS products for use in clinical trials. At March 31, 2026, our principal source of liquidity was cash of $461.7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24,533</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16"/>
        </w:trPr>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(36,657)</w:t>
            </w:r>
          </w:p>
        </w:tc>
        <w:tc>
          <w:tcPr>
            <w:tcW w:w="4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(27,038)</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3,762</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198"/>
        </w:trPr>
        <w:tc>
          <w:tcPr>
            <w:tcW w:w="69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840" w:type="dxa"/>
            <w:vAlign w:val="bottom"/>
          </w:tcPr>
          <w:p>
            <w:pPr>
              <w:spacing w:after="0"/>
              <w:rPr>
                <w:sz w:val="17"/>
                <w:szCs w:val="17"/>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44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1"/>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(8,689)</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(26,507)</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provided $24.5 million of cash, primarily resulting from net income of $7.3 million and net non-cash charges of $28.6 million, partially offset by net cash used by changes in our operating assets and liabilities of $11.4 million. Net cash used by changes in our operating assets and liabilities for the three months ended March 31, 2026 consisted primarily of an increase in accounts receivable of $6.5 million, an increase in inventory of $3.9 million, and a net decrease in accounts payable and accrued expenses and other current liabilities of $2.0 million, partially offset by a decrease in prepaid expenses and other current assets of $2.0 million.</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$2.9 million of cash, primarily resulting from net cash used by changes in our operating assets and liabilities of $44.4 million, partially offset by net income of $25.7 million and net non-cash charges of $15.9 million. Net cash used by changes in our operating assets and liabilities for the three months ended March 31, 2025 consisted primarily of an increase in accounts receivable of $44.1 million and a net decrease in accounts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0" w:name="page31"/>
    <w:bookmarkEnd w:id="30"/>
    <w:p>
      <w:pPr>
        <w:ind w:right="240"/>
        <w:spacing w:after="0" w:line="282" w:lineRule="auto"/>
        <w:rPr>
          <w:sz w:val="20"/>
          <w:szCs w:val="20"/>
          <w:color w:val="auto"/>
        </w:rPr>
      </w:pPr>
      <w:r>
        <w:rPr>
          <w:rFonts w:ascii="Times New Roman" w:cs="Times New Roman" w:eastAsia="Times New Roman" w:hAnsi="Times New Roman"/>
          <w:sz w:val="18"/>
          <w:szCs w:val="18"/>
          <w:color w:val="auto"/>
        </w:rPr>
        <w:t>payable and accrued expenses and other current liabilities of $3.9 million, partially offset by decreases in inventory of $2.0 million and prepaid expenses and other current assets of $1.9 million.</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Changes in accounts receivable, inventory, prepaid expenses and other current assets, accounts payable, and accrued expenses and other current liabilities in each reporting period are generally due to growth in our business and timing of invoices and payments.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of $36.7 million consisted of purchases of property, plant and equipment, primarily related to the purchase of two parcels of land and building in Somerville, Massachusetts.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of $27.0 million consisted of purchases of property, plant and equipment, primarily related to the purchase of transplant aircraft.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of $3.8 million consisted primarily of proceeds from the issuance of common stock upon exercise of stock options of $2.2 million and proceeds from the issuance of common stock in connection with the 2019 Employee Stock Purchase Plan of $1.7 million.</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of $3.0 million consisted of proceeds from the issuance of common stock upon exercise of stock options of $1.7 million and proceeds from the issuance of common stock in connection with the 2019 Employee Stock Purchase Plan of $1.3 million.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May 11, 2023, we issued $460.0 million aggregate principal amount of the Notes, in a private placement to qualified institutional buyers pursuant to Rule 144A under the Securities Act, pursuant to an indenture dated May 11, 2023, by and between us and U.S. Bank Trust Company, National Association, or the Indenture.</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initial conversion price of the Notes is approximately $94.00 per share of common stock, which represents a premium of approximately 32.5% over the closing price of our common stock on May 8, 2023. The Notes will mature on June 1, 2028, unless earlier repurchased, redeemed or converted. We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 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noteholders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We have the right to elect to settle conversions either in cash, shares or in a combination of cash and shares of our common stock.</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Prior to June 8, 2026, the Notes will not be redeemable. On or after June 8, 2026, we may redeem for cash all or any portion of the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2022, we entered into a credit agreement with CIBC as amended by the First Amendment to Credit Agreement, dated as of May 8, 2023, by and among the Company and CIBC, or the First Amendment, the Second Amendment to Credit Agreement, dated as of June 23, 2023, by and among the Company and CIBC, or the Second Amendment, and the Third Amendment to Credit Agreement, dated as of November 9, 2023, by and among the Company and CIBC, or the Third Amendment, pursuant to which we borrowed $60.0 million, referred to herein as the CIBC Credit Agreement.</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CIBC Credit Agreement bear interest at an annual rate equal to either, at our option, (i) the secured overnight financing rate for an interest period selected by us, subject to a minimum of 1.50%, plus 2.0% or (ii) 1.0% plus the higher of a) the prime rate, subject to a minimum of 4.0% or b) the Federal Funds Effective Rate, plus 0.5%. We are obligated to repay the outstanding principal amount in equal monthly installments commencing in July 2026 with the remaining balance due on the maturity date in July 2027. At our option, we may prepay the outstanding principal amount under the CIBC Credit Agreement, without a prepayment fee. All obligations under the CIBC Credit Agreement are guaranteed by us and each of our material subsidiaries.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All obligations of us and each guarantor are secured by substantially all of our and each guarantor’s assets, including their intellectual property, subject to certain exceptions. Under the CIBC Credit Agreement, we have agreed to customary representations and warranties, events of default and certain affirmative and negative covenants to which we will remain subject until maturity. The financial covenants include, among other covenants, (x) a requirement to maintain a minimum liquidity amount of the greater of either (i) the consolidated adjusted EBITDA loss (or gain), as defined, for the trailing four month period (only if EBITDA is negative) and (ii) $10.0 million, and (y) a requirement to maintain total net revenue of at least 75% of the level set forth in the total revenue plan presented to CIBC.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our business), failure to comply with certain covenants and a material adverse change in our business, operations or financial condition. As of March 31, 2026, we were in compliance with all financial covenants of the CIBC Credit Agreement. 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we may be required to prepay the outstanding principal amount, subject to certain exceptions, with portions of net cash proceeds of certain asset sales and certain casualty and condemnation events.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As we continue to pursue and increase commercial sales of our OCS products, we expect our costs and expenses to increase in the future, particularly as we expand our commercial team, grow our NOP, scale our manufacturing and sterilization operations, continue research, development and clinical trial efforts, including expanding our research and development and manufacturing capabilities in Italy, seek regulatory approval for the next generation OCS, new products and product enhancements, including new indications, both in the United States and in select non-U.S. markets, establish and relocate to a new long-term global headquarters, and seek greater control of air and ground transport for our NOP. If the demand for our products exceeds our existing manufacturing and sterilization capacity, our ability to fulfill orders would be limited until we have sufficiently expanded such operations. The timing and amount of our operating and capital expenditures will depend on many factors, including:</w:t>
      </w:r>
    </w:p>
    <w:p>
      <w:pPr>
        <w:spacing w:after="0" w:line="81" w:lineRule="exact"/>
        <w:rPr>
          <w:sz w:val="20"/>
          <w:szCs w:val="20"/>
          <w:color w:val="auto"/>
        </w:rPr>
      </w:pPr>
    </w:p>
    <w:p>
      <w:pPr>
        <w:ind w:left="900" w:right="180" w:hanging="368"/>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product revenue generated by sales of our OCS Consoles, OCS disposable sets and other products that may be approved in the United States and select non-U.S. markets, revenue generated by our services, and growth of the NOP;</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expanding our U.S. and non-U.S. sales, marketing and logistics infrastructure and our manufacturing operations;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OCS products are adopted by the transplant community;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obtain adequate reimbursement from third-party payors for procedures performed using the OCS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we experience in commercializing our OCS products for additional indications;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2" w:name="page33"/>
    <w:bookmarkEnd w:id="32"/>
    <w:p>
      <w:pPr>
        <w:ind w:left="900" w:right="28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pre- and post-approval studies or any future clinical studies and regulatory reviews, including to seek and obtain approvals for new indications for our OCS products, or other product candidates, including CHOPS;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products we develop and commercialize;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constructing research and development and manufacturing facilities in Italy;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development of the next generation OCS;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improving and expanding our commercial operations, including the NOP, globally;</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growing our transplant logistics capabilities, including by means of attracting, training and retaining pilots, and the acquisition, maintenance, or replacement of fixed-wing aircraft for our aviation transportation services or other acquisitions, joint ventures or strategic investments;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selling, general and administrative expenses; and</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establishing and relocating to a new long-term global headquarters to accommodate the growing scale and complexity of our business.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will enable us to fund our operating expenses, capital expenditure requirements, and debt service payments for at least 12 months following the filing of this Quarterly Report on Form 10-Q.</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may need to raise additional funding, which might not be available on favorable terms, or at all. See “Item 1A. Risk Factors—Risks Related to Our Financial Position and Need for Additional Capital” in our 2025 Form 10-K.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cash requirements from those disclosed in our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consolidated financial statements and the related notes and other financial information included in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329"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included elsewhere in this Quarterly Report on Form 10-Q.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changes in interest rates and foreign currency exchange rates because we finance certain operations through variable rate debt instruments and denominate our transactions in a variety of foreign currencies. Changes in these rates may have an impact on future cash flow and earnings. We manage these risks through normal operating and financing activities. There has been no material change in the foreign currency exchange risk or interest rate risk discussed in “Management’s Discussion and Analysis of Financial Condition and Results of Operations” included in our 2025 Form 10-K.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President and Chief Executive Officer and our Chief Financial Officer concluded that, as of such date, our disclosure controls and procedures were not effective due to a material weakness in internal control over financial reporting. Specifically, the Company has not designed and maintained effective controls over inventory movement within its manufacturing network. While effective controls are in place to verify the existence and accuracy of inventory as of year-end, effective controls have not been designed and maintained to verify that inventory movements are appropriately recorded in the interim financial statements. Notwithstanding the material weakness, and based on the additional analyses and other procedures management performed, we have concluded that our condensed consolidated financial statements included in this Quarterly Report on Form 10-Q present fairly, in all material respects, our financial position and results of operations and cash flows as of each of the dates, and for each of the periods, presented therein in accordance with generally accepted accounting principles in the United States of America.</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has developed and is in the process of implementing the remediation plan to address the material weakness, which includes the design and implementation of new control activities, including system-based controls, to ensure the movement of inventory is timely and accurately recorded throughout the course of the year, as well as strengthening review and approval procedures. The material weakness will not be considered remediated until management has completed the design and implementation of the applicable controls and they operate for a sufficient period of time for management to conclude, through testing, that controls are operating effectively.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and this item is included in Note 10 of the Notes to the Unaudited Condensed Consolidated Financial Statements contained in Part I, Item 1 of this Quarterly Report on Form 10-Q, which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For a detailed discussion of the risks that affect our business, please refer to the section titled “Item 1A. Risk Factors” in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our fiscal quarter ended March 31, 2026, one of our directors entered into a contract, instruction or written plan for the purchase or sale of our securities that is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describe the material terms of this Rule 10b5-1 trading plan in the table below.</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 to</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or</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Covers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Sold Pursuant to</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Director/Officer</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Date</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Trading</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Trading</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Rule 10b5-1</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94"/>
        </w:trPr>
        <w:tc>
          <w:tcPr>
            <w:tcW w:w="13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Action</w:t>
            </w:r>
          </w:p>
        </w:tc>
        <w:tc>
          <w:tcPr>
            <w:tcW w:w="16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Plan (2)</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Sale</w:t>
            </w:r>
          </w:p>
        </w:tc>
        <w:tc>
          <w:tcPr>
            <w:tcW w:w="0" w:type="dxa"/>
            <w:vAlign w:val="bottom"/>
          </w:tcPr>
          <w:p>
            <w:pPr>
              <w:spacing w:after="0"/>
              <w:rPr>
                <w:sz w:val="1"/>
                <w:szCs w:val="1"/>
                <w:color w:val="auto"/>
              </w:rPr>
            </w:pPr>
          </w:p>
        </w:tc>
      </w:tr>
      <w:tr>
        <w:trPr>
          <w:trHeight w:val="198"/>
        </w:trPr>
        <w:tc>
          <w:tcPr>
            <w:tcW w:w="1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Basile</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24-Jun-26</w:t>
            </w:r>
          </w:p>
        </w:tc>
        <w:tc>
          <w:tcPr>
            <w:tcW w:w="16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25-May-27</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1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126"/>
        </w:trPr>
        <w:tc>
          <w:tcPr>
            <w:tcW w:w="1380" w:type="dxa"/>
            <w:vAlign w:val="bottom"/>
            <w:vMerge w:val="continue"/>
            <w:shd w:val="clear" w:color="auto" w:fill="CFF0FC"/>
          </w:tcPr>
          <w:p>
            <w:pPr>
              <w:spacing w:after="0"/>
              <w:rPr>
                <w:sz w:val="10"/>
                <w:szCs w:val="10"/>
                <w:color w:val="auto"/>
              </w:rPr>
            </w:pPr>
          </w:p>
        </w:tc>
        <w:tc>
          <w:tcPr>
            <w:tcW w:w="1440" w:type="dxa"/>
            <w:vAlign w:val="bottom"/>
            <w:gridSpan w:val="2"/>
            <w:vMerge w:val="restart"/>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3/04/2026</w:t>
            </w:r>
          </w:p>
        </w:tc>
        <w:tc>
          <w:tcPr>
            <w:tcW w:w="160" w:type="dxa"/>
            <w:vAlign w:val="bottom"/>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78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shd w:val="clear" w:color="auto" w:fill="CFF0FC"/>
          </w:tcPr>
          <w:p>
            <w:pPr>
              <w:spacing w:after="0"/>
              <w:rPr>
                <w:sz w:val="9"/>
                <w:szCs w:val="9"/>
                <w:color w:val="auto"/>
              </w:rPr>
            </w:pPr>
          </w:p>
        </w:tc>
        <w:tc>
          <w:tcPr>
            <w:tcW w:w="1440" w:type="dxa"/>
            <w:vAlign w:val="bottom"/>
            <w:gridSpan w:val="2"/>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900" w:hanging="518"/>
        <w:spacing w:after="0" w:line="261"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is subject to earlier termination under certain circumstances specified in the plan, including upon the sale or purchase (as applicable) of all shares subject to the plan and upon either party to a plan giving notice of termination within the time prescribed under the plan.</w:t>
      </w:r>
    </w:p>
    <w:p>
      <w:pPr>
        <w:spacing w:after="0" w:line="54" w:lineRule="exact"/>
        <w:rPr>
          <w:rFonts w:ascii="Times New Roman" w:cs="Times New Roman" w:eastAsia="Times New Roman" w:hAnsi="Times New Roman"/>
          <w:sz w:val="14"/>
          <w:szCs w:val="14"/>
          <w:color w:val="auto"/>
        </w:rPr>
      </w:pPr>
    </w:p>
    <w:p>
      <w:pPr>
        <w:ind w:left="900" w:hanging="518"/>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adjustments for stock splits, stock combinations, stock dividends and other similar changes to our common stock.</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38"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gridSpan w:val="1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Restated Articles of Organization (incorporated by reference to Exhibit 3.1 to the Registrant's Annual Report on Form 10-K (File No. 001-</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38891) filed with the SEC on March 17,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Second Amended and Restated Bylaws (incorporated by reference to Exhibit 3.1 to the Registrant’s Current Report on Form 8-K (File No.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001-38891) filed with the SEC on November 4, 2022)</w:t>
              </w:r>
            </w:hyperlink>
          </w:p>
        </w:tc>
        <w:tc>
          <w:tcPr>
            <w:tcW w:w="20" w:type="dxa"/>
            <w:vAlign w:val="bottom"/>
            <w:tcBorders>
              <w:bottom w:val="single" w:sz="8" w:color="0000EE"/>
            </w:tcBorders>
          </w:tcPr>
          <w:p>
            <w:pPr>
              <w:spacing w:after="0"/>
              <w:rPr>
                <w:sz w:val="17"/>
                <w:szCs w:val="17"/>
                <w:color w:val="auto"/>
              </w:rPr>
            </w:pPr>
          </w:p>
        </w:tc>
        <w:tc>
          <w:tcPr>
            <w:tcW w:w="6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9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Lease Agreement, by and between TransMedics Group, Inc. and BioMed Realty, dated January 8, 2026 (incorporated by reference to the</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Registrant’s Current Report on Form 8-K (File No. 001-38891) filed with the SEC on January 12,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Executive Retention Agreement, dated as of January 30, 2026, by and among the Registrant and Giovanni Cecere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Executive Retention Agreement, dated as of January 30, 2026, by and among the Registrant and Matthew Forsyth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60" w:firstLine="8"/>
        <w:spacing w:after="0" w:line="250"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or compensatory plan, contract or arrangement.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TRANSMEDICS GROUP, INC.</w:t>
            </w:r>
          </w:p>
        </w:tc>
      </w:tr>
      <w:tr>
        <w:trPr>
          <w:trHeight w:val="432"/>
        </w:trPr>
        <w:tc>
          <w:tcPr>
            <w:tcW w:w="3440" w:type="dxa"/>
            <w:vAlign w:val="bottom"/>
          </w:tcPr>
          <w:p>
            <w:pPr>
              <w:spacing w:after="0"/>
              <w:rPr>
                <w:sz w:val="24"/>
                <w:szCs w:val="24"/>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Waleed H. Hassanein, M.D.</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Waleed H. Hassanein, M.D.</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Gerardo Hernandez</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Gerardo Hernandez</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3440" w:type="dxa"/>
            <w:vAlign w:val="bottom"/>
          </w:tcPr>
          <w:p>
            <w:pPr>
              <w:spacing w:after="0"/>
              <w:rPr>
                <w:sz w:val="24"/>
                <w:szCs w:val="24"/>
                <w:color w:val="auto"/>
              </w:rPr>
            </w:pPr>
          </w:p>
        </w:tc>
        <w:tc>
          <w:tcPr>
            <w:tcW w:w="2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5160" w:type="dxa"/>
            <w:vAlign w:val="bottom"/>
          </w:tcPr>
          <w:p>
            <w:pPr>
              <w:spacing w:after="0"/>
              <w:rPr>
                <w:sz w:val="24"/>
                <w:szCs w:val="24"/>
                <w:color w:val="auto"/>
              </w:rPr>
            </w:pPr>
          </w:p>
        </w:tc>
      </w:tr>
      <w:tr>
        <w:trPr>
          <w:trHeight w:val="561"/>
        </w:trPr>
        <w:tc>
          <w:tcPr>
            <w:tcW w:w="34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TRANSMEDICS,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Executive Retention Agreement</w:t>
      </w:r>
    </w:p>
    <w:p>
      <w:pPr>
        <w:spacing w:after="0" w:line="20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THIS EXECUTIVE RETENTION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between TransMedics,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w:t>
      </w:r>
      <w:r>
        <w:rPr>
          <w:rFonts w:ascii="Arial" w:cs="Arial" w:eastAsia="Arial" w:hAnsi="Arial"/>
          <w:sz w:val="22"/>
          <w:szCs w:val="22"/>
          <w:b w:val="1"/>
          <w:bCs w:val="1"/>
          <w:color w:val="auto"/>
        </w:rPr>
        <w:t>Giovanni Cecere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Executive</w:t>
      </w:r>
      <w:r>
        <w:rPr>
          <w:rFonts w:ascii="Arial" w:cs="Arial" w:eastAsia="Arial" w:hAnsi="Arial"/>
          <w:sz w:val="22"/>
          <w:szCs w:val="22"/>
          <w:color w:val="auto"/>
        </w:rPr>
        <w:t>”) is made as of January 30, 2026, and effective as of the date the Executive begins employment with the Company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70" w:lineRule="exact"/>
        <w:rPr>
          <w:sz w:val="20"/>
          <w:szCs w:val="20"/>
          <w:color w:val="auto"/>
        </w:rPr>
      </w:pPr>
    </w:p>
    <w:p>
      <w:pPr>
        <w:ind w:right="380" w:firstLine="749"/>
        <w:spacing w:after="0" w:line="283" w:lineRule="auto"/>
        <w:rPr>
          <w:sz w:val="20"/>
          <w:szCs w:val="20"/>
          <w:color w:val="auto"/>
        </w:rPr>
      </w:pPr>
      <w:r>
        <w:rPr>
          <w:rFonts w:ascii="Arial" w:cs="Arial" w:eastAsia="Arial" w:hAnsi="Arial"/>
          <w:sz w:val="21"/>
          <w:szCs w:val="21"/>
          <w:color w:val="auto"/>
        </w:rPr>
        <w:t xml:space="preserve">WHEREAS, the Board of Directors of the Company (the “ </w:t>
      </w:r>
      <w:r>
        <w:rPr>
          <w:rFonts w:ascii="Arial" w:cs="Arial" w:eastAsia="Arial" w:hAnsi="Arial"/>
          <w:sz w:val="21"/>
          <w:szCs w:val="21"/>
          <w:u w:val="single" w:color="auto"/>
          <w:color w:val="auto"/>
        </w:rPr>
        <w:t>Board</w:t>
      </w:r>
      <w:r>
        <w:rPr>
          <w:rFonts w:ascii="Arial" w:cs="Arial" w:eastAsia="Arial" w:hAnsi="Arial"/>
          <w:sz w:val="21"/>
          <w:szCs w:val="21"/>
          <w:color w:val="auto"/>
        </w:rPr>
        <w:t>”) has determined that appropriate steps should be taken to reinforce and encourage the employment and dedication of the Company’s key personnel; and</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Board has identified the Executive as one of the Company’s key personnel.</w:t>
      </w:r>
    </w:p>
    <w:p>
      <w:pPr>
        <w:spacing w:after="0" w:line="206"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NOW, THEREFORE, as an inducement for and in consideration of the Executive commencing employment and remaining in the Company’s employ, the Company agrees that the Executive shall receive the severance benefits set forth in this Agreement in the event the Executive’s employment with the Company is terminated under the circumstances described below.</w:t>
      </w:r>
    </w:p>
    <w:p>
      <w:pPr>
        <w:spacing w:after="0" w:line="176" w:lineRule="exact"/>
        <w:rPr>
          <w:sz w:val="20"/>
          <w:szCs w:val="20"/>
          <w:color w:val="auto"/>
        </w:rPr>
      </w:pPr>
    </w:p>
    <w:p>
      <w:pPr>
        <w:ind w:left="1000" w:hanging="243"/>
        <w:spacing w:after="0"/>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Key Definitions</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used herein, the following terms shall have the following respective meanings: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1.1 “</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an event or occurrence set forth in any one or more of subsections (a) through</w:t>
      </w:r>
    </w:p>
    <w:p>
      <w:pPr>
        <w:spacing w:after="0" w:line="22" w:lineRule="exact"/>
        <w:rPr>
          <w:sz w:val="20"/>
          <w:szCs w:val="20"/>
          <w:color w:val="auto"/>
        </w:rPr>
      </w:pPr>
    </w:p>
    <w:p>
      <w:pPr>
        <w:ind w:right="40" w:firstLine="8"/>
        <w:spacing w:after="0" w:line="234" w:lineRule="auto"/>
        <w:tabs>
          <w:tab w:leader="none" w:pos="324" w:val="left"/>
        </w:tabs>
        <w:numPr>
          <w:ilvl w:val="0"/>
          <w:numId w:val="16"/>
        </w:numPr>
        <w:rPr>
          <w:rFonts w:ascii="Arial" w:cs="Arial" w:eastAsia="Arial" w:hAnsi="Arial"/>
          <w:sz w:val="22"/>
          <w:szCs w:val="22"/>
          <w:color w:val="auto"/>
        </w:rPr>
      </w:pPr>
      <w:r>
        <w:rPr>
          <w:rFonts w:ascii="Arial" w:cs="Arial" w:eastAsia="Arial" w:hAnsi="Arial"/>
          <w:sz w:val="22"/>
          <w:szCs w:val="22"/>
          <w:color w:val="auto"/>
        </w:rPr>
        <w:t>below (including an event or occurrence that constitutes a Change in Control under one of such subsections but is specifically exempted from another such subsection) that is (i) a change in the ownership Company (as defined in Treasury Regulation Section 1.409A-3(i)(5)(v)), (ii) a change in the effective control of the Company (as defined in Treasury Regulation Section 1.409A-3(i)(5)(vi)), or (iii) a change in the ownership of a substantial portion of the assets of the Company (as defined in Treasury Regulation Section 1.409A-3(i)(5)(vii)):</w:t>
      </w:r>
    </w:p>
    <w:p>
      <w:pPr>
        <w:spacing w:after="0" w:line="177" w:lineRule="exact"/>
        <w:rPr>
          <w:rFonts w:ascii="Arial" w:cs="Arial" w:eastAsia="Arial" w:hAnsi="Arial"/>
          <w:sz w:val="22"/>
          <w:szCs w:val="22"/>
          <w:color w:val="auto"/>
        </w:rPr>
      </w:pPr>
    </w:p>
    <w:p>
      <w:pPr>
        <w:ind w:left="760" w:firstLine="745"/>
        <w:spacing w:after="0" w:line="236" w:lineRule="auto"/>
        <w:tabs>
          <w:tab w:leader="none" w:pos="1833"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acquisition by an individual, entity or group (within the meaning of Section 13(d)(3) or 14(d)(2)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(a “</w:t>
      </w:r>
      <w:r>
        <w:rPr>
          <w:rFonts w:ascii="Arial" w:cs="Arial" w:eastAsia="Arial" w:hAnsi="Arial"/>
          <w:sz w:val="22"/>
          <w:szCs w:val="22"/>
          <w:u w:val="single" w:color="auto"/>
          <w:color w:val="auto"/>
        </w:rPr>
        <w:t>Person</w:t>
      </w:r>
      <w:r>
        <w:rPr>
          <w:rFonts w:ascii="Arial" w:cs="Arial" w:eastAsia="Arial" w:hAnsi="Arial"/>
          <w:sz w:val="22"/>
          <w:szCs w:val="22"/>
          <w:color w:val="auto"/>
        </w:rPr>
        <w:t>”) of beneficial ownership of any capital stock of the Company if, after such acquisition, such Person beneficially owns (within the meaning of Rule 13d-3 promulgated under the Exchange Act) 50% or more of either (x) the then outstanding shares of common stock of the Company (the “</w:t>
      </w:r>
      <w:r>
        <w:rPr>
          <w:rFonts w:ascii="Arial" w:cs="Arial" w:eastAsia="Arial" w:hAnsi="Arial"/>
          <w:sz w:val="22"/>
          <w:szCs w:val="22"/>
          <w:u w:val="single" w:color="auto"/>
          <w:color w:val="auto"/>
        </w:rPr>
        <w:t>Outstanding Company Common Stock</w:t>
      </w:r>
      <w:r>
        <w:rPr>
          <w:rFonts w:ascii="Arial" w:cs="Arial" w:eastAsia="Arial" w:hAnsi="Arial"/>
          <w:sz w:val="22"/>
          <w:szCs w:val="22"/>
          <w:color w:val="auto"/>
        </w:rPr>
        <w:t>”) or (y) the combined voting power of the then outstanding securities of the Company entitled to vote generally in the election of directors (the “</w:t>
      </w:r>
      <w:r>
        <w:rPr>
          <w:rFonts w:ascii="Arial" w:cs="Arial" w:eastAsia="Arial" w:hAnsi="Arial"/>
          <w:sz w:val="22"/>
          <w:szCs w:val="22"/>
          <w:u w:val="single" w:color="auto"/>
          <w:color w:val="auto"/>
        </w:rPr>
        <w:t>Outstanding Company Voting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8" w:name="page39"/>
    <w:bookmarkEnd w:id="38"/>
    <w:p>
      <w:pPr>
        <w:ind w:right="40"/>
        <w:spacing w:after="0" w:line="236" w:lineRule="auto"/>
        <w:rPr>
          <w:sz w:val="20"/>
          <w:szCs w:val="20"/>
          <w:color w:val="auto"/>
        </w:rPr>
      </w:pPr>
      <w:r>
        <w:rPr>
          <w:rFonts w:ascii="Arial" w:cs="Arial" w:eastAsia="Arial" w:hAnsi="Arial"/>
          <w:sz w:val="22"/>
          <w:szCs w:val="22"/>
          <w:color w:val="auto"/>
        </w:rPr>
        <w:t>that for purposes of this subsection (a), the following acquisitions shall not constitute a Change in Control: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or (ii) any acquisition by any corporation pursuant to a transaction which complies with clauses (i) and (ii) of subsection (c) of this Section 1.1; or</w:t>
      </w:r>
    </w:p>
    <w:p>
      <w:pPr>
        <w:spacing w:after="0" w:line="176" w:lineRule="exact"/>
        <w:rPr>
          <w:sz w:val="20"/>
          <w:szCs w:val="20"/>
          <w:color w:val="auto"/>
        </w:rPr>
      </w:pPr>
    </w:p>
    <w:p>
      <w:pPr>
        <w:ind w:firstLine="745"/>
        <w:spacing w:after="0" w:line="234" w:lineRule="auto"/>
        <w:tabs>
          <w:tab w:leader="none" w:pos="1073"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such time as the Continuing Directors (as defined below) do not constitute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22"/>
          <w:szCs w:val="22"/>
          <w:color w:val="auto"/>
        </w:rPr>
      </w:pPr>
    </w:p>
    <w:p>
      <w:pPr>
        <w:ind w:right="20" w:firstLine="745"/>
        <w:spacing w:after="0" w:line="232" w:lineRule="auto"/>
        <w:tabs>
          <w:tab w:leader="none" w:pos="1061"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Arial" w:cs="Arial" w:eastAsia="Arial" w:hAnsi="Arial"/>
          <w:sz w:val="22"/>
          <w:szCs w:val="22"/>
          <w:u w:val="single" w:color="auto"/>
          <w:color w:val="auto"/>
        </w:rPr>
        <w:t>Business Combination</w:t>
      </w:r>
      <w:r>
        <w:rPr>
          <w:rFonts w:ascii="Arial" w:cs="Arial" w:eastAsia="Arial" w:hAnsi="Arial"/>
          <w:sz w:val="22"/>
          <w:szCs w:val="22"/>
          <w:color w:val="auto"/>
        </w:rPr>
        <w:t>”),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acquiring corporation is referred to herein as the “</w:t>
      </w:r>
      <w:r>
        <w:rPr>
          <w:rFonts w:ascii="Arial" w:cs="Arial" w:eastAsia="Arial" w:hAnsi="Arial"/>
          <w:sz w:val="22"/>
          <w:szCs w:val="22"/>
          <w:u w:val="single" w:color="auto"/>
          <w:color w:val="auto"/>
        </w:rPr>
        <w:t>Acquiring Corporation</w:t>
      </w:r>
      <w:r>
        <w:rPr>
          <w:rFonts w:ascii="Arial" w:cs="Arial" w:eastAsia="Arial" w:hAnsi="Arial"/>
          <w:sz w:val="22"/>
          <w:szCs w:val="22"/>
          <w:color w:val="auto"/>
        </w:rPr>
        <w:t>”)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the Company or by the Acquiring Corporation) beneficially owns, directly or indirectly, 50% or more of the then outstanding shares of common stock of the Acquiring Corporation, or of the combined voting power of the then outstanding securities of such corporation entitled to vote generally in the</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36" w:right="359" w:bottom="1440" w:gutter="0" w:footer="0" w:header="0"/>
        </w:sectPr>
      </w:pPr>
    </w:p>
    <w:bookmarkStart w:id="39" w:name="page40"/>
    <w:bookmarkEnd w:id="39"/>
    <w:p>
      <w:pPr>
        <w:ind w:left="760"/>
        <w:spacing w:after="0"/>
        <w:rPr>
          <w:sz w:val="20"/>
          <w:szCs w:val="20"/>
          <w:color w:val="auto"/>
        </w:rPr>
      </w:pPr>
      <w:r>
        <w:rPr>
          <w:rFonts w:ascii="Arial" w:cs="Arial" w:eastAsia="Arial" w:hAnsi="Arial"/>
          <w:sz w:val="21"/>
          <w:szCs w:val="21"/>
          <w:color w:val="auto"/>
        </w:rPr>
        <w:t>election of directors (except to the extent that such ownership existed prior to the Business Combination); or</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(d) the liquidation or dissolution of the Company.</w:t>
      </w:r>
    </w:p>
    <w:p>
      <w:pPr>
        <w:spacing w:after="0" w:line="20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xml:space="preserve"> ” means the first date during the Term (as defined in Section 2) on which a Change in Control occurs. Anything in this Agreement to the contrary notwithstanding, if (a) a Change in Control occurs, (b) the Executive’s employment with the Company is terminated prior to the date on which the Change in Control occurs, and (c) it is reasonably demonstrated by the Executive that 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p>
    <w:p>
      <w:pPr>
        <w:spacing w:after="0" w:line="176" w:lineRule="exact"/>
        <w:rPr>
          <w:sz w:val="20"/>
          <w:szCs w:val="20"/>
          <w:color w:val="auto"/>
        </w:rPr>
      </w:pPr>
    </w:p>
    <w:p>
      <w:pPr>
        <w:ind w:right="20" w:firstLine="749"/>
        <w:spacing w:after="0" w:line="235"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Cause</w:t>
      </w:r>
      <w:r>
        <w:rPr>
          <w:rFonts w:ascii="Arial" w:cs="Arial" w:eastAsia="Arial" w:hAnsi="Arial"/>
          <w:sz w:val="22"/>
          <w:szCs w:val="22"/>
          <w:color w:val="auto"/>
        </w:rPr>
        <w:t xml:space="preserve">” means willful misconduct by the Executive or willful failure by the Executive to perform the Executive’s responsibilities to the Company (including, without limitation, breach by the Executive of any provision of any employment, consulting, advisory, nondisclosure, non-competition or other similar agreement between the Executive and the Company), as determined by the Company, which determination shall be conclusive;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following the Change in Control Date, Cause means (a) willful failure by the Executive, which failure is not cured within 30 days of written notice to the Executive from the Company, to perform the Executive’s material responsibilities to the Company or (b) willful misconduct by the Executive which affects the business reputation of the Company.</w:t>
      </w:r>
    </w:p>
    <w:p>
      <w:pPr>
        <w:spacing w:after="0" w:line="178" w:lineRule="exact"/>
        <w:rPr>
          <w:sz w:val="20"/>
          <w:szCs w:val="20"/>
          <w:color w:val="auto"/>
        </w:rPr>
      </w:pPr>
    </w:p>
    <w:p>
      <w:pPr>
        <w:ind w:right="460" w:firstLine="749"/>
        <w:spacing w:after="0" w:line="259"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effective date of an employment termination, as further described in Section 3.2.</w:t>
      </w:r>
    </w:p>
    <w:p>
      <w:pPr>
        <w:spacing w:after="0" w:line="156" w:lineRule="exact"/>
        <w:rPr>
          <w:sz w:val="20"/>
          <w:szCs w:val="20"/>
          <w:color w:val="auto"/>
        </w:rPr>
      </w:pPr>
    </w:p>
    <w:p>
      <w:pPr>
        <w:ind w:right="180" w:firstLine="749"/>
        <w:spacing w:after="0"/>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76" w:lineRule="exact"/>
        <w:rPr>
          <w:sz w:val="20"/>
          <w:szCs w:val="20"/>
          <w:color w:val="auto"/>
        </w:rPr>
      </w:pPr>
    </w:p>
    <w:p>
      <w:pPr>
        <w:ind w:firstLine="749"/>
        <w:spacing w:after="0" w:line="234"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without the Executive’s written consent, of any of the events or circumstances set forth in clauses (a) through (e) below. Notwithstanding the occurrence of any such event or circumstance, such occurrence shall not be deemed to constitute Good Reason unless: (i) the Executive has given written notice to the Company of the Executive’s intention to terminate the Executive’s employment for Good Reason, describing the grounds for such action, no later than 90 days after the first occurrence of such circumstances, (ii) the Executive has provided the Company with at least 30 days in which to cure the circumstances, and (iii) if the Company is not successful in curing the event or circumstance, the Executive ends the Executive’s employment within 30 days following the end of the cure period after giving not less than 15 days’ advance notice. Moreover, if such event or circumstance has been fully corrected within the cure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22"/>
          <w:szCs w:val="22"/>
          <w:color w:val="auto"/>
        </w:rPr>
        <w:t>period, such event or circumstance may not be used by the Executive at any time thereafter as basis for establishing Good Reason.</w:t>
      </w:r>
    </w:p>
    <w:p>
      <w:pPr>
        <w:spacing w:after="0" w:line="156" w:lineRule="exact"/>
        <w:rPr>
          <w:sz w:val="20"/>
          <w:szCs w:val="20"/>
          <w:color w:val="auto"/>
        </w:rPr>
      </w:pPr>
    </w:p>
    <w:p>
      <w:pPr>
        <w:ind w:left="760" w:firstLine="745"/>
        <w:spacing w:after="0" w:line="248" w:lineRule="auto"/>
        <w:tabs>
          <w:tab w:leader="none" w:pos="1833" w:val="left"/>
        </w:tabs>
        <w:numPr>
          <w:ilvl w:val="1"/>
          <w:numId w:val="18"/>
        </w:numPr>
        <w:rPr>
          <w:rFonts w:ascii="Arial" w:cs="Arial" w:eastAsia="Arial" w:hAnsi="Arial"/>
          <w:sz w:val="21"/>
          <w:szCs w:val="21"/>
          <w:color w:val="auto"/>
        </w:rPr>
      </w:pPr>
      <w:r>
        <w:rPr>
          <w:rFonts w:ascii="Arial" w:cs="Arial" w:eastAsia="Arial" w:hAnsi="Arial"/>
          <w:sz w:val="21"/>
          <w:szCs w:val="21"/>
          <w:color w:val="auto"/>
        </w:rPr>
        <w:t>a material adverse change by the Company in the Executive’s duties, authority or responsibilities in effect immediately prior to the earliest to occur of (i) the Change in Control Date, (ii) the date of the execution by the Company of the initial written agreement or instrument providing for the Change in Control or</w:t>
      </w:r>
    </w:p>
    <w:p>
      <w:pPr>
        <w:ind w:left="760" w:right="120" w:hanging="3"/>
        <w:spacing w:after="0" w:line="233" w:lineRule="auto"/>
        <w:tabs>
          <w:tab w:leader="none" w:pos="110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date of the adoption by the Board of a resolution providing for the Change in Control (with the earliest to occur of such dates referred to herein as the “</w:t>
      </w:r>
      <w:r>
        <w:rPr>
          <w:rFonts w:ascii="Arial" w:cs="Arial" w:eastAsia="Arial" w:hAnsi="Arial"/>
          <w:sz w:val="22"/>
          <w:szCs w:val="22"/>
          <w:u w:val="single" w:color="auto"/>
          <w:color w:val="auto"/>
        </w:rPr>
        <w:t>Measurement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“material adverse change” following a Change in Control shall not include any diminution in authority, duties or responsibilities that is solely attributable to the change in the Company’s ownership structure but does not otherwise change the Executive’s authority, duties or responsibilities (except in a positive manner) otherwise with respect to the Company’s business;</w:t>
      </w:r>
    </w:p>
    <w:p>
      <w:pPr>
        <w:spacing w:after="0" w:line="180" w:lineRule="exact"/>
        <w:rPr>
          <w:rFonts w:ascii="Arial" w:cs="Arial" w:eastAsia="Arial" w:hAnsi="Arial"/>
          <w:sz w:val="22"/>
          <w:szCs w:val="22"/>
          <w:color w:val="auto"/>
        </w:rPr>
      </w:pPr>
    </w:p>
    <w:p>
      <w:pPr>
        <w:ind w:left="760" w:right="180" w:firstLine="745"/>
        <w:spacing w:after="0" w:line="259" w:lineRule="auto"/>
        <w:tabs>
          <w:tab w:leader="none" w:pos="1833"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material reduction in the Executive’s base compensation as in effect on the Measurement Date or as the same was or may be increased thereafter from time to time;</w:t>
      </w:r>
    </w:p>
    <w:p>
      <w:pPr>
        <w:spacing w:after="0" w:line="156" w:lineRule="exact"/>
        <w:rPr>
          <w:rFonts w:ascii="Arial" w:cs="Arial" w:eastAsia="Arial" w:hAnsi="Arial"/>
          <w:sz w:val="22"/>
          <w:szCs w:val="22"/>
          <w:color w:val="auto"/>
        </w:rPr>
      </w:pPr>
    </w:p>
    <w:p>
      <w:pPr>
        <w:ind w:left="760" w:right="40" w:firstLine="745"/>
        <w:spacing w:after="0" w:line="238" w:lineRule="auto"/>
        <w:tabs>
          <w:tab w:leader="none" w:pos="1821"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material change by the Company in the location at which the Executive performs the Executive’s principal duties for the Company to a new location that is both (i) outside a radius of 50 miles from the Executive’s principal residence immediately prior to the Measurement Date and (ii) more than 50 miles from the location at which the Executive performed the Executive’s principal duties for the Company immediately prior to the Measurement Date;</w:t>
      </w:r>
    </w:p>
    <w:p>
      <w:pPr>
        <w:spacing w:after="0" w:line="176" w:lineRule="exact"/>
        <w:rPr>
          <w:rFonts w:ascii="Arial" w:cs="Arial" w:eastAsia="Arial" w:hAnsi="Arial"/>
          <w:sz w:val="22"/>
          <w:szCs w:val="22"/>
          <w:color w:val="auto"/>
        </w:rPr>
      </w:pPr>
    </w:p>
    <w:p>
      <w:pPr>
        <w:ind w:left="760" w:right="780" w:firstLine="745"/>
        <w:spacing w:after="0" w:line="259" w:lineRule="auto"/>
        <w:tabs>
          <w:tab w:leader="none" w:pos="1833"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failure of the Company to obtain the agreement from any successor to the Company to assume and agree to perform this Agreement, as required by Section 6.1; or</w:t>
      </w:r>
    </w:p>
    <w:p>
      <w:pPr>
        <w:spacing w:after="0" w:line="156" w:lineRule="exact"/>
        <w:rPr>
          <w:rFonts w:ascii="Arial" w:cs="Arial" w:eastAsia="Arial" w:hAnsi="Arial"/>
          <w:sz w:val="22"/>
          <w:szCs w:val="22"/>
          <w:color w:val="auto"/>
        </w:rPr>
      </w:pPr>
    </w:p>
    <w:p>
      <w:pPr>
        <w:ind w:left="1820" w:hanging="315"/>
        <w:spacing w:after="0"/>
        <w:tabs>
          <w:tab w:leader="none" w:pos="182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any material breach by the Company of this Agreement or any employment agreement with the</w:t>
      </w:r>
    </w:p>
    <w:p>
      <w:pPr>
        <w:spacing w:after="0" w:line="1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Executive.</w:t>
      </w:r>
    </w:p>
    <w:p>
      <w:pPr>
        <w:spacing w:after="0" w:line="186" w:lineRule="exact"/>
        <w:rPr>
          <w:sz w:val="20"/>
          <w:szCs w:val="20"/>
          <w:color w:val="auto"/>
        </w:rPr>
      </w:pPr>
    </w:p>
    <w:p>
      <w:pPr>
        <w:jc w:val="both"/>
        <w:ind w:left="760" w:hanging="3"/>
        <w:spacing w:after="0" w:line="233" w:lineRule="auto"/>
        <w:tabs>
          <w:tab w:leader="none" w:pos="1014"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and all rights and obligations of the parties hereunder, shall take effect upon the Effective Date and shall expire upon the first to occur of (a) if neither a termination of the Executive’s employment with the Company described in Section 4.1(a) below nor a Change in Control has occurred during the Term (as defined below), the expiration of the Term, (b) if a termination of the Executive’s employment with the Company described in Section 4.1(a) below occurs during the Term or within twenty-four (24) months following a Change in Control, the fulfillment by the Company of all of its obligations under Sections 4 and 5.2 and 5.3 or (c) if a Change in Control occurs prior to expiration of the Term (as defined below), the later of (i) the date twenty-four (24) months after the Change in Control Date and (ii) if the Executive’s employment with the Company terminates within twenty-four (24) months following the Change in Control Date, the fulfillment by the Company of all of its obligations under Sections 4 and 5.2 and 5.3.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shall mean the period commencing as of the Effective Date and continuing in effect through December 31, 2026;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41" w:name="page42"/>
    <w:bookmarkEnd w:id="41"/>
    <w:p>
      <w:pPr>
        <w:ind w:left="760"/>
        <w:spacing w:after="0" w:line="259" w:lineRule="auto"/>
        <w:rPr>
          <w:sz w:val="20"/>
          <w:szCs w:val="20"/>
          <w:color w:val="auto"/>
        </w:rPr>
      </w:pPr>
      <w:r>
        <w:rPr>
          <w:rFonts w:ascii="Arial" w:cs="Arial" w:eastAsia="Arial" w:hAnsi="Arial"/>
          <w:sz w:val="22"/>
          <w:szCs w:val="22"/>
          <w:color w:val="auto"/>
        </w:rPr>
        <w:t>commencing on January 1, 2027 and each January 1 thereafter, the Term shall be automatically extended for one additional year.</w:t>
      </w:r>
    </w:p>
    <w:p>
      <w:pPr>
        <w:spacing w:after="0" w:line="156" w:lineRule="exact"/>
        <w:rPr>
          <w:sz w:val="20"/>
          <w:szCs w:val="20"/>
          <w:color w:val="auto"/>
        </w:rPr>
      </w:pPr>
    </w:p>
    <w:p>
      <w:pPr>
        <w:ind w:left="1000" w:hanging="243"/>
        <w:spacing w:after="0"/>
        <w:tabs>
          <w:tab w:leader="none" w:pos="100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Employment Status; Termination of Employment</w:t>
      </w:r>
      <w:r>
        <w:rPr>
          <w:rFonts w:ascii="Arial" w:cs="Arial" w:eastAsia="Arial" w:hAnsi="Arial"/>
          <w:sz w:val="22"/>
          <w:szCs w:val="22"/>
          <w:color w:val="auto"/>
        </w:rPr>
        <w:t>.</w:t>
      </w:r>
    </w:p>
    <w:p>
      <w:pPr>
        <w:spacing w:after="0" w:line="206" w:lineRule="exact"/>
        <w:rPr>
          <w:sz w:val="20"/>
          <w:szCs w:val="20"/>
          <w:color w:val="auto"/>
        </w:rPr>
      </w:pPr>
    </w:p>
    <w:p>
      <w:pPr>
        <w:ind w:right="280" w:firstLine="749"/>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The Executive acknowledges that this Agreement does not constitute a contract of employment or impose on the Company any obligation to retain the Executive as an employee and that this Agreement does not prevent the Executive from terminating employment at any time. If the Executive’s employment with the Company terminates for any reason and subsequently a Change in Control shall occur, the Executive shall not be entitled to any benefits hereunder except as otherwise provided pursuant to Section 1.2 and Section 4.1.</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ind w:left="760" w:firstLine="745"/>
        <w:spacing w:after="0" w:line="232" w:lineRule="auto"/>
        <w:tabs>
          <w:tab w:leader="none" w:pos="18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the Change in Control Date occurs during the Term, any termination of the Executive’s employment by the Company or by the Executive within twenty-four (24) months following the Change in Control Date (other than due to the death of the Executive) shall be communicated by a written notice to the other party hereto (the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given in accordance with Section 7. Following the Change in Control Date, any Notice of Termination shall: (i) indicate the specific termination provision (if any) of this Agreement relied upon by the party giving such notice, (ii) to the extent applicable, set forth in reasonable detail the facts and circumstances claimed to provide a basis for termination of the Executive’s employment under the provision so indicated and (iii) specify the Date of Termination. Following the Change in Control Date, the Date of Termination shall be the close of business on the date specified in the Notice of Termination (which date may not be, in the case of notice by the Company, less than 15 days or more than 120 days after the date of delivery of such Notice of Termination or, in the case of a notice by the Executive (other than a termination for Good Reason), may not be less than 180 days or more than 210 days after the date of delivery of such Notice of Termination), in the case of a termination other than one due to the Executive’s death, or the date of the Executive’s death, as the case may be. In the event the Company fails to satisfy the requirements of Section 3.2(a) regarding a Notice of Termination, following the Change in Control Date, the purported termination of the Executive’s employment pursuant to such Notice of Termination shall not be effective for purposes of this Agreement.</w:t>
      </w:r>
    </w:p>
    <w:p>
      <w:pPr>
        <w:spacing w:after="0" w:line="189" w:lineRule="exact"/>
        <w:rPr>
          <w:rFonts w:ascii="Arial" w:cs="Arial" w:eastAsia="Arial" w:hAnsi="Arial"/>
          <w:sz w:val="22"/>
          <w:szCs w:val="22"/>
          <w:color w:val="auto"/>
        </w:rPr>
      </w:pPr>
    </w:p>
    <w:p>
      <w:pPr>
        <w:ind w:left="760" w:right="40" w:firstLine="745"/>
        <w:spacing w:after="0" w:line="236" w:lineRule="auto"/>
        <w:tabs>
          <w:tab w:leader="none" w:pos="18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 provided, however, that any fact or circumstance which contributes to a showing of Good Reason must be asserted within 90 days of its first occurring and the Company shall have at least 30 days in which to cure such fact or circumstance consistent with the terms of Section 1.6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42" w:name="page43"/>
    <w:bookmarkEnd w:id="42"/>
    <w:p>
      <w:pPr>
        <w:ind w:left="760" w:firstLine="745"/>
        <w:spacing w:after="0" w:line="247" w:lineRule="auto"/>
        <w:tabs>
          <w:tab w:leader="none" w:pos="1821" w:val="left"/>
        </w:tabs>
        <w:numPr>
          <w:ilvl w:val="1"/>
          <w:numId w:val="23"/>
        </w:numPr>
        <w:rPr>
          <w:rFonts w:ascii="Arial" w:cs="Arial" w:eastAsia="Arial" w:hAnsi="Arial"/>
          <w:sz w:val="21"/>
          <w:szCs w:val="21"/>
          <w:color w:val="auto"/>
        </w:rPr>
      </w:pPr>
      <w:r>
        <w:rPr>
          <w:rFonts w:ascii="Arial" w:cs="Arial" w:eastAsia="Arial" w:hAnsi="Arial"/>
          <w:sz w:val="21"/>
          <w:szCs w:val="21"/>
          <w:color w:val="auto"/>
        </w:rPr>
        <w:t>Following the Change in Control Date, any Notice of Termination for Cause given by the Company must be given within 90 days of the occurrence of the event(s) or circumstance(s) which constitute(s) Cause. Prior to any Notice of Termination for Cause being given (and prior to any termination for Cause being effective) after the Change in Control Date, the Executive shall be entitled to a hearing before the Board at which the Executive may, at the Executive’s election, be represented by counsel and at which the Executive shall have a reasonable opportunity to be heard. Such hearing shall be held on not less than 15 days prior written notice to the Executive stating the Board’s intention to terminate the Executive for Cause and stating in detail the particular event(s) or circumstance(s) which the Board believes constitutes Cause for termination.</w:t>
      </w:r>
    </w:p>
    <w:p>
      <w:pPr>
        <w:spacing w:after="0" w:line="171" w:lineRule="exact"/>
        <w:rPr>
          <w:rFonts w:ascii="Arial" w:cs="Arial" w:eastAsia="Arial" w:hAnsi="Arial"/>
          <w:sz w:val="21"/>
          <w:szCs w:val="21"/>
          <w:color w:val="auto"/>
        </w:rPr>
      </w:pPr>
    </w:p>
    <w:p>
      <w:pPr>
        <w:ind w:left="760" w:right="200" w:firstLine="745"/>
        <w:spacing w:after="0" w:line="259" w:lineRule="auto"/>
        <w:tabs>
          <w:tab w:leader="none" w:pos="1833"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Notice of Termination for Good Reason given by the Executive, whether prior to or following the Change in Control Date, must be given consistent with Section 1.6 above.</w:t>
      </w:r>
    </w:p>
    <w:p>
      <w:pPr>
        <w:spacing w:after="0" w:line="156" w:lineRule="exact"/>
        <w:rPr>
          <w:rFonts w:ascii="Arial" w:cs="Arial" w:eastAsia="Arial" w:hAnsi="Arial"/>
          <w:sz w:val="22"/>
          <w:szCs w:val="22"/>
          <w:color w:val="auto"/>
        </w:rPr>
      </w:pPr>
    </w:p>
    <w:p>
      <w:pPr>
        <w:ind w:left="1000" w:hanging="243"/>
        <w:spacing w:after="0"/>
        <w:tabs>
          <w:tab w:leader="none" w:pos="10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Benefits to Executive upon Termination</w:t>
      </w:r>
      <w:r>
        <w:rPr>
          <w:rFonts w:ascii="Arial" w:cs="Arial" w:eastAsia="Arial" w:hAnsi="Arial"/>
          <w:sz w:val="22"/>
          <w:szCs w:val="22"/>
          <w:color w:val="auto"/>
        </w:rPr>
        <w:t>.</w:t>
      </w:r>
    </w:p>
    <w:p>
      <w:pPr>
        <w:spacing w:after="0" w:line="20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Termination of Employment without Cause prior to Change in Control</w:t>
      </w:r>
      <w:r>
        <w:rPr>
          <w:rFonts w:ascii="Arial" w:cs="Arial" w:eastAsia="Arial" w:hAnsi="Arial"/>
          <w:sz w:val="22"/>
          <w:szCs w:val="22"/>
          <w:color w:val="auto"/>
        </w:rPr>
        <w:t>. If, during the Term and prior to the occurrence of a Change in Control, the Executive’s employment with the Company is terminated by the Company (other than for Cause, Disability or death), then:</w:t>
      </w:r>
    </w:p>
    <w:p>
      <w:pPr>
        <w:spacing w:after="0" w:line="170" w:lineRule="exact"/>
        <w:rPr>
          <w:sz w:val="20"/>
          <w:szCs w:val="20"/>
          <w:color w:val="auto"/>
        </w:rPr>
      </w:pPr>
    </w:p>
    <w:p>
      <w:pPr>
        <w:ind w:left="760" w:firstLine="745"/>
        <w:spacing w:after="0" w:line="234" w:lineRule="auto"/>
        <w:tabs>
          <w:tab w:leader="none" w:pos="1833" w:val="left"/>
        </w:tabs>
        <w:numPr>
          <w:ilvl w:val="0"/>
          <w:numId w:val="25"/>
        </w:numPr>
        <w:rPr>
          <w:rFonts w:ascii="Arial" w:cs="Arial" w:eastAsia="Arial" w:hAnsi="Arial"/>
          <w:sz w:val="22"/>
          <w:szCs w:val="22"/>
          <w:color w:val="auto"/>
        </w:rPr>
      </w:pPr>
      <w:r>
        <w:rPr>
          <w:rFonts w:ascii="Arial" w:cs="Arial" w:eastAsia="Arial" w:hAnsi="Arial"/>
          <w:sz w:val="22"/>
          <w:szCs w:val="22"/>
          <w:color w:val="auto"/>
        </w:rPr>
        <w:t>on the Date of Termination, the Company shall pay to the Executive, in a lump sum in cash, the sum of (i) the Executive’s base salary earned but unpaid as of the Date of Termination, (ii) the amount of any compensation previously deferred by the Executive (together with any accrued interest or earnings thereon), provided that such payment of deferred compensation is consistent with any elections the Executive may have made with respect thereto, (iii) any accrued but unpaid vacation pay, in each case to the extent not previously paid (the sum of the amounts described in clauses (i), (ii) and (iii) shall be hereinafter referred to as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 and, at the same time that annual bonuses are paid to active executives, the Company shall pay to the Executive, in a lump sum in cash, any annual bonus relating to the fiscal year prior to the year in which such termination occurs, to the extent earned based on performance and unpaid (the “</w:t>
      </w:r>
      <w:r>
        <w:rPr>
          <w:rFonts w:ascii="Arial" w:cs="Arial" w:eastAsia="Arial" w:hAnsi="Arial"/>
          <w:sz w:val="22"/>
          <w:szCs w:val="22"/>
          <w:u w:val="single" w:color="auto"/>
          <w:color w:val="auto"/>
        </w:rPr>
        <w:t>Prior Year’s Bonus</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760" w:right="460" w:firstLine="745"/>
        <w:spacing w:after="0" w:line="259" w:lineRule="auto"/>
        <w:tabs>
          <w:tab w:leader="none" w:pos="1833"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provided that Executive executes and does not revoke the release consistent with Section 4.7 below, the Company shall;</w:t>
      </w:r>
    </w:p>
    <w:p>
      <w:pPr>
        <w:spacing w:after="0" w:line="156" w:lineRule="exact"/>
        <w:rPr>
          <w:rFonts w:ascii="Arial" w:cs="Arial" w:eastAsia="Arial" w:hAnsi="Arial"/>
          <w:sz w:val="22"/>
          <w:szCs w:val="22"/>
          <w:color w:val="auto"/>
        </w:rPr>
      </w:pPr>
    </w:p>
    <w:p>
      <w:pPr>
        <w:ind w:left="1500" w:right="500" w:firstLine="754"/>
        <w:spacing w:after="0" w:line="259" w:lineRule="auto"/>
        <w:tabs>
          <w:tab w:leader="none" w:pos="2501" w:val="left"/>
        </w:tabs>
        <w:numPr>
          <w:ilvl w:val="1"/>
          <w:numId w:val="25"/>
        </w:numPr>
        <w:rPr>
          <w:rFonts w:ascii="Arial" w:cs="Arial" w:eastAsia="Arial" w:hAnsi="Arial"/>
          <w:sz w:val="22"/>
          <w:szCs w:val="22"/>
          <w:color w:val="auto"/>
        </w:rPr>
      </w:pPr>
      <w:r>
        <w:rPr>
          <w:rFonts w:ascii="Arial" w:cs="Arial" w:eastAsia="Arial" w:hAnsi="Arial"/>
          <w:sz w:val="22"/>
          <w:szCs w:val="22"/>
          <w:color w:val="auto"/>
        </w:rPr>
        <w:t>if such termination of employment occurs before the date that is the twelve (12)-month anniversary of the Effective Date:</w:t>
      </w:r>
    </w:p>
    <w:p>
      <w:pPr>
        <w:spacing w:after="0" w:line="156" w:lineRule="exact"/>
        <w:rPr>
          <w:sz w:val="20"/>
          <w:szCs w:val="20"/>
          <w:color w:val="auto"/>
        </w:rPr>
      </w:pPr>
    </w:p>
    <w:p>
      <w:pPr>
        <w:ind w:left="1500" w:right="160" w:firstLine="754"/>
        <w:spacing w:after="0" w:line="238" w:lineRule="auto"/>
        <w:tabs>
          <w:tab w:leader="none" w:pos="2597" w:val="left"/>
        </w:tabs>
        <w:numPr>
          <w:ilvl w:val="0"/>
          <w:numId w:val="26"/>
        </w:numPr>
        <w:rPr>
          <w:rFonts w:ascii="Arial" w:cs="Arial" w:eastAsia="Arial" w:hAnsi="Arial"/>
          <w:sz w:val="22"/>
          <w:szCs w:val="22"/>
          <w:color w:val="auto"/>
        </w:rPr>
      </w:pPr>
      <w:r>
        <w:rPr>
          <w:rFonts w:ascii="Arial" w:cs="Arial" w:eastAsia="Arial" w:hAnsi="Arial"/>
          <w:sz w:val="22"/>
          <w:szCs w:val="22"/>
          <w:color w:val="auto"/>
        </w:rPr>
        <w:t>pay to the Executive, in nine (9) monthly installments beginning in the first payroll period following the Release Effective Date (as defined in Section 4.7), an amount equal to nine (9) months of the Executive’s base salary as in effect on the Date of Termination, reduced by any amounts payable to the Executive under any non-competition or similar agreement with respect to the same period;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43" w:name="page44"/>
    <w:bookmarkEnd w:id="43"/>
    <w:p>
      <w:pPr>
        <w:ind w:left="380" w:firstLine="754"/>
        <w:spacing w:after="0" w:line="238" w:lineRule="auto"/>
        <w:tabs>
          <w:tab w:leader="none" w:pos="1477" w:val="left"/>
        </w:tabs>
        <w:numPr>
          <w:ilvl w:val="0"/>
          <w:numId w:val="27"/>
        </w:numPr>
        <w:rPr>
          <w:rFonts w:ascii="Arial" w:cs="Arial" w:eastAsia="Arial" w:hAnsi="Arial"/>
          <w:sz w:val="22"/>
          <w:szCs w:val="22"/>
          <w:color w:val="auto"/>
        </w:rPr>
      </w:pPr>
      <w:r>
        <w:rPr>
          <w:rFonts w:ascii="Arial" w:cs="Arial" w:eastAsia="Arial" w:hAnsi="Arial"/>
          <w:sz w:val="22"/>
          <w:szCs w:val="22"/>
          <w:color w:val="auto"/>
        </w:rPr>
        <w:t>pay to the Executive, in a lump sum at the same time bonuses are otherwise paid to active executives of the Company for the year in which such termination of employment occurs, an amount equal to the product obtained by multiplying (1) 0.75 by (2) the actual bonus the Executive would have received for such year had the Executive not terminated employment, calculated based on actual performance; and</w:t>
      </w:r>
    </w:p>
    <w:p>
      <w:pPr>
        <w:spacing w:after="0" w:line="176" w:lineRule="exact"/>
        <w:rPr>
          <w:rFonts w:ascii="Arial" w:cs="Arial" w:eastAsia="Arial" w:hAnsi="Arial"/>
          <w:sz w:val="22"/>
          <w:szCs w:val="22"/>
          <w:color w:val="auto"/>
        </w:rPr>
      </w:pPr>
    </w:p>
    <w:p>
      <w:pPr>
        <w:ind w:left="380" w:right="40" w:firstLine="754"/>
        <w:spacing w:after="0" w:line="244" w:lineRule="auto"/>
        <w:tabs>
          <w:tab w:leader="none" w:pos="1489" w:val="left"/>
        </w:tabs>
        <w:numPr>
          <w:ilvl w:val="0"/>
          <w:numId w:val="27"/>
        </w:numPr>
        <w:rPr>
          <w:rFonts w:ascii="Arial" w:cs="Arial" w:eastAsia="Arial" w:hAnsi="Arial"/>
          <w:sz w:val="21"/>
          <w:szCs w:val="21"/>
          <w:color w:val="auto"/>
        </w:rPr>
      </w:pPr>
      <w:r>
        <w:rPr>
          <w:rFonts w:ascii="Arial" w:cs="Arial" w:eastAsia="Arial" w:hAnsi="Arial"/>
          <w:sz w:val="21"/>
          <w:szCs w:val="21"/>
          <w:color w:val="auto"/>
        </w:rPr>
        <w:t>subject to the Executive’s timely election to continue participation and that of the Executive’s eligible dependents in the Company’s group medical, dental and/or vision plans under the federal law known as “COBRA” or similar applicable state law (together, “COBRA”), the Company will pay for the monthly cost of such COBRA continuation coverage for the Company’s group medical, dental and/or vision insurance premiums (as applicable), with such continuation on the same basis as in effect for active employees with the same coverage until the earliest of (1) nine (9) months following the Release Effective Date, (2) the date the Executive and the Executive’s eligible dependents are no longer entitled to coverage under COBRA or the Company’s plans, or (3)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1"/>
          <w:szCs w:val="21"/>
          <w:color w:val="auto"/>
        </w:rPr>
        <w:t>y. Notwithstan</w:t>
      </w:r>
      <w:r>
        <w:rPr>
          <w:rFonts w:ascii="Arial" w:cs="Arial" w:eastAsia="Arial" w:hAnsi="Arial"/>
          <w:sz w:val="21"/>
          <w:szCs w:val="21"/>
          <w:color w:val="auto"/>
        </w:rPr>
        <w:t>ding the foregoing, in the event that the Company’s payment of the premium payments, as described in this Section, would subject the Company to any tax or penalty under Section 105(h)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the Patient Protection and Affordable Care Act, as amended, any regulations or guidance issued thereunder, or any other applicable law, in each case, as determined by the Company, then the Company will not be required to provide them.</w:t>
      </w:r>
    </w:p>
    <w:p>
      <w:pPr>
        <w:spacing w:after="0" w:line="175" w:lineRule="exact"/>
        <w:rPr>
          <w:sz w:val="20"/>
          <w:szCs w:val="20"/>
          <w:color w:val="auto"/>
        </w:rPr>
      </w:pPr>
    </w:p>
    <w:p>
      <w:pPr>
        <w:ind w:left="380" w:right="640" w:firstLine="754"/>
        <w:spacing w:after="0" w:line="259" w:lineRule="auto"/>
        <w:tabs>
          <w:tab w:leader="none" w:pos="14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if such termination of employment occurs after the date that is the twelve (12)-month anniversary of the Effective Date:</w:t>
      </w:r>
    </w:p>
    <w:p>
      <w:pPr>
        <w:spacing w:after="0" w:line="156" w:lineRule="exact"/>
        <w:rPr>
          <w:sz w:val="20"/>
          <w:szCs w:val="20"/>
          <w:color w:val="auto"/>
        </w:rPr>
      </w:pPr>
    </w:p>
    <w:p>
      <w:pPr>
        <w:ind w:left="380" w:right="180" w:firstLine="754"/>
        <w:spacing w:after="0"/>
        <w:tabs>
          <w:tab w:leader="none" w:pos="1477"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pay to the Executive, in twelve (12) monthly installments beginning in the first payroll period following the Release Effective Date, an amount equal to the Executive’s base salary as in effect on the Date of Termination, reduced by any amounts payable to the Executive under any non-competition or similar agreement with respect to the same period;</w:t>
      </w:r>
    </w:p>
    <w:p>
      <w:pPr>
        <w:spacing w:after="0" w:line="176" w:lineRule="exact"/>
        <w:rPr>
          <w:rFonts w:ascii="Arial" w:cs="Arial" w:eastAsia="Arial" w:hAnsi="Arial"/>
          <w:sz w:val="22"/>
          <w:szCs w:val="22"/>
          <w:color w:val="auto"/>
        </w:rPr>
      </w:pPr>
    </w:p>
    <w:p>
      <w:pPr>
        <w:ind w:left="380" w:firstLine="754"/>
        <w:spacing w:after="0"/>
        <w:tabs>
          <w:tab w:leader="none" w:pos="1477"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pay to the Executive, in a lump sum at the same time bonuses are otherwise paid to active executives of the Company for the year in which such termination of employment occurs, an amount equal to the Executive’s highest annual bonus during the three-year period prior to the Date of Termination; and</w:t>
      </w:r>
    </w:p>
    <w:p>
      <w:pPr>
        <w:spacing w:after="0" w:line="176" w:lineRule="exact"/>
        <w:rPr>
          <w:rFonts w:ascii="Arial" w:cs="Arial" w:eastAsia="Arial" w:hAnsi="Arial"/>
          <w:sz w:val="22"/>
          <w:szCs w:val="22"/>
          <w:color w:val="auto"/>
        </w:rPr>
      </w:pPr>
    </w:p>
    <w:p>
      <w:pPr>
        <w:ind w:left="380" w:right="400" w:firstLine="754"/>
        <w:spacing w:after="0"/>
        <w:tabs>
          <w:tab w:leader="none" w:pos="1489"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subject to the Executive’s timely election to continue participation and that of the Executive’s eligible dependents in the Company’s group medical, dental and/or vision plans under COBRA, the Company will pay for the monthly cost of such COBRA continuation coverage for the Company’s group medical, dental and/or vision</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713740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36" w:right="339" w:bottom="1440" w:gutter="0" w:footer="0" w:header="0"/>
        </w:sectPr>
      </w:pPr>
    </w:p>
    <w:bookmarkStart w:id="44" w:name="page45"/>
    <w:bookmarkEnd w:id="44"/>
    <w:p>
      <w:pPr>
        <w:ind w:left="1500" w:right="20"/>
        <w:spacing w:after="0" w:line="233" w:lineRule="auto"/>
        <w:rPr>
          <w:sz w:val="20"/>
          <w:szCs w:val="20"/>
          <w:color w:val="auto"/>
        </w:rPr>
      </w:pPr>
      <w:r>
        <w:rPr>
          <w:rFonts w:ascii="Arial" w:cs="Arial" w:eastAsia="Arial" w:hAnsi="Arial"/>
          <w:sz w:val="22"/>
          <w:szCs w:val="22"/>
          <w:color w:val="auto"/>
        </w:rPr>
        <w:t>insurance premiums (as applicable), with such continuation on the same basis as in effect for active employees with the same coverage until the earliest of (1) twelve (12) months following the Release Effective Date, (2) the date the Executive and the Executive’s eligible dependents are no longer entitled to coverage under COBRA or the Company’s plans, or (3)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2"/>
          <w:szCs w:val="22"/>
          <w:color w:val="auto"/>
        </w:rPr>
        <w:t>y. Notwithstan</w:t>
      </w:r>
      <w:r>
        <w:rPr>
          <w:rFonts w:ascii="Arial" w:cs="Arial" w:eastAsia="Arial" w:hAnsi="Arial"/>
          <w:sz w:val="22"/>
          <w:szCs w:val="22"/>
          <w:color w:val="auto"/>
        </w:rPr>
        <w:t xml:space="preserve">ding the foregoing, in the event that the Company’s payment of the premium payments, as described in this Section, would subject the Company to any tax or penalty under Section 105(h) of the </w:t>
      </w:r>
      <w:r>
        <w:rPr>
          <w:rFonts w:ascii="Arial" w:cs="Arial" w:eastAsia="Arial" w:hAnsi="Arial"/>
          <w:sz w:val="22"/>
          <w:szCs w:val="22"/>
          <w:u w:val="single" w:color="auto"/>
          <w:color w:val="auto"/>
        </w:rPr>
        <w:t>Code</w:t>
      </w:r>
      <w:r>
        <w:rPr>
          <w:rFonts w:ascii="Arial" w:cs="Arial" w:eastAsia="Arial" w:hAnsi="Arial"/>
          <w:sz w:val="22"/>
          <w:szCs w:val="22"/>
          <w:color w:val="auto"/>
        </w:rPr>
        <w:t>, the Patient Protection and Affordable Care Act, as amended, any regulations or guidance issued thereunder, or any other applicable law, in each case, as determined by the Company, then the Company will not be required to provide them.</w:t>
      </w:r>
    </w:p>
    <w:p>
      <w:pPr>
        <w:spacing w:after="0" w:line="184" w:lineRule="exact"/>
        <w:rPr>
          <w:sz w:val="20"/>
          <w:szCs w:val="20"/>
          <w:color w:val="auto"/>
        </w:rPr>
      </w:pPr>
    </w:p>
    <w:p>
      <w:pPr>
        <w:ind w:right="180" w:firstLine="749"/>
        <w:spacing w:after="0" w:line="26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Termination of Employment without Cause or for Good Reason following Change in Control</w:t>
      </w:r>
      <w:r>
        <w:rPr>
          <w:rFonts w:ascii="Arial" w:cs="Arial" w:eastAsia="Arial" w:hAnsi="Arial"/>
          <w:sz w:val="21"/>
          <w:szCs w:val="21"/>
          <w:color w:val="auto"/>
        </w:rPr>
        <w:t>. If the Executive’s employment with the Company is terminated by the Company (other than for Cause, Disability or death) or by the Executive for Good Reason within twenty-four (24) months following the Change in Control Date, then:</w:t>
      </w:r>
    </w:p>
    <w:p>
      <w:pPr>
        <w:spacing w:after="0" w:line="154" w:lineRule="exact"/>
        <w:rPr>
          <w:sz w:val="20"/>
          <w:szCs w:val="20"/>
          <w:color w:val="auto"/>
        </w:rPr>
      </w:pPr>
    </w:p>
    <w:p>
      <w:pPr>
        <w:ind w:left="760" w:right="140" w:firstLine="745"/>
        <w:spacing w:after="0" w:line="245" w:lineRule="auto"/>
        <w:tabs>
          <w:tab w:leader="none" w:pos="183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shall pay to the Executive the Accrued Obligations, which shall be paid in one lump sum in cash on the Date of Termination, and the Prior Year’s Bonus, which shall be paid in a lump sum in cash when annual bonuses are paid to executives generally; and</w:t>
      </w:r>
    </w:p>
    <w:p>
      <w:pPr>
        <w:spacing w:after="0" w:line="170" w:lineRule="exact"/>
        <w:rPr>
          <w:rFonts w:ascii="Arial" w:cs="Arial" w:eastAsia="Arial" w:hAnsi="Arial"/>
          <w:sz w:val="22"/>
          <w:szCs w:val="22"/>
          <w:color w:val="auto"/>
        </w:rPr>
      </w:pPr>
    </w:p>
    <w:p>
      <w:pPr>
        <w:ind w:left="760" w:right="540" w:firstLine="745"/>
        <w:spacing w:after="0" w:line="259" w:lineRule="auto"/>
        <w:tabs>
          <w:tab w:leader="none" w:pos="1833"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provided the Executive executes and does not revoke the release consistent with Section 4.7 below, the Company shall:</w:t>
      </w:r>
    </w:p>
    <w:p>
      <w:pPr>
        <w:spacing w:after="0" w:line="156" w:lineRule="exact"/>
        <w:rPr>
          <w:rFonts w:ascii="Arial" w:cs="Arial" w:eastAsia="Arial" w:hAnsi="Arial"/>
          <w:sz w:val="22"/>
          <w:szCs w:val="22"/>
          <w:color w:val="auto"/>
        </w:rPr>
      </w:pPr>
    </w:p>
    <w:p>
      <w:pPr>
        <w:ind w:left="1500" w:firstLine="754"/>
        <w:spacing w:after="0" w:line="234" w:lineRule="auto"/>
        <w:tabs>
          <w:tab w:leader="none" w:pos="2501" w:val="left"/>
        </w:tabs>
        <w:numPr>
          <w:ilvl w:val="1"/>
          <w:numId w:val="30"/>
        </w:numPr>
        <w:rPr>
          <w:rFonts w:ascii="Arial" w:cs="Arial" w:eastAsia="Arial" w:hAnsi="Arial"/>
          <w:sz w:val="22"/>
          <w:szCs w:val="22"/>
          <w:color w:val="auto"/>
        </w:rPr>
      </w:pPr>
      <w:r>
        <w:rPr>
          <w:rFonts w:ascii="Arial" w:cs="Arial" w:eastAsia="Arial" w:hAnsi="Arial"/>
          <w:sz w:val="22"/>
          <w:szCs w:val="22"/>
          <w:color w:val="auto"/>
        </w:rPr>
        <w:t>pay the amount equal to the sum of (A) the product obtained by multiplying (1) 1.5 by (2) the Executive’s annual base salary as in effect on the Date of Termination, (B) the Executive’s highest annual bonus during the three-year period prior to the Date of Termination, and (C) the product obtained by multiplying (y) the Executive’s target annual bonus for the year in which the Date of Termination occurs by (z) a fraction, the numerator of which is the number of days the Executive was employed by the Company during such year, and the denominator of which is 365, which shall be paid in one lump sum within 10 days after the Release Effective Date; provided that if the Date of Termination precedes the closing of the Change in Control, then the foregoing amount shall be paid in accordance with the terms of Section 4.1(b) until the closing date of the Change in Control and thereafter shall be paid out in accordance with this Section 4.2(b)(i);</w:t>
      </w:r>
    </w:p>
    <w:p>
      <w:pPr>
        <w:spacing w:after="0" w:line="179" w:lineRule="exact"/>
        <w:rPr>
          <w:rFonts w:ascii="Arial" w:cs="Arial" w:eastAsia="Arial" w:hAnsi="Arial"/>
          <w:sz w:val="22"/>
          <w:szCs w:val="22"/>
          <w:color w:val="auto"/>
        </w:rPr>
      </w:pPr>
    </w:p>
    <w:p>
      <w:pPr>
        <w:ind w:left="1500" w:right="400" w:firstLine="754"/>
        <w:spacing w:after="0" w:line="238" w:lineRule="auto"/>
        <w:tabs>
          <w:tab w:leader="none" w:pos="2548"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subject to the Executive’s timely election to continue participation and that of the Executive’s eligible dependents in the Company’s group medical, dental and/or vision plans under COBRA, the Company will pay for the monthly cost of such COBRA continuation coverage for the Company’s group medical, dental and/or vision insurance premiums (as applicable), with such continuation on the same basis as in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45" w:name="page46"/>
    <w:bookmarkEnd w:id="45"/>
    <w:p>
      <w:pPr>
        <w:ind w:left="1500" w:right="20"/>
        <w:spacing w:after="0" w:line="233" w:lineRule="auto"/>
        <w:rPr>
          <w:sz w:val="20"/>
          <w:szCs w:val="20"/>
          <w:color w:val="auto"/>
        </w:rPr>
      </w:pPr>
      <w:r>
        <w:rPr>
          <w:rFonts w:ascii="Arial" w:cs="Arial" w:eastAsia="Arial" w:hAnsi="Arial"/>
          <w:sz w:val="22"/>
          <w:szCs w:val="22"/>
          <w:color w:val="auto"/>
        </w:rPr>
        <w:t>effect for active employees with the same coverage until the earliest of (A) eighteen (18) months following the Release Effective Date, (B) the date the Executive and the Executive’s eligible dependents are no longer entitled to coverage under COBRA or the Company’s plans, or (C)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2"/>
          <w:szCs w:val="22"/>
          <w:color w:val="auto"/>
        </w:rPr>
        <w:t>y. Notwithstan</w:t>
      </w:r>
      <w:r>
        <w:rPr>
          <w:rFonts w:ascii="Arial" w:cs="Arial" w:eastAsia="Arial" w:hAnsi="Arial"/>
          <w:sz w:val="22"/>
          <w:szCs w:val="22"/>
          <w:color w:val="auto"/>
        </w:rPr>
        <w:t xml:space="preserve">ding the foregoing, in the event that the Company’s payment of the premium payments, as described in this Section, would subject the Company to any tax or penalty under Section 105(h) of the </w:t>
      </w:r>
      <w:r>
        <w:rPr>
          <w:rFonts w:ascii="Arial" w:cs="Arial" w:eastAsia="Arial" w:hAnsi="Arial"/>
          <w:sz w:val="22"/>
          <w:szCs w:val="22"/>
          <w:u w:val="single" w:color="auto"/>
          <w:color w:val="auto"/>
        </w:rPr>
        <w:t>Code</w:t>
      </w:r>
      <w:r>
        <w:rPr>
          <w:rFonts w:ascii="Arial" w:cs="Arial" w:eastAsia="Arial" w:hAnsi="Arial"/>
          <w:sz w:val="22"/>
          <w:szCs w:val="22"/>
          <w:color w:val="auto"/>
        </w:rPr>
        <w:t>, the Patient Protection and Affordable Care Act, as amended, any regulations or guidance issued thereunder, or any other applicable law, in each case, as determined by the Company, then the Company will not be required to provide them; and</w:t>
      </w:r>
    </w:p>
    <w:p>
      <w:pPr>
        <w:spacing w:after="0" w:line="187" w:lineRule="exact"/>
        <w:rPr>
          <w:sz w:val="20"/>
          <w:szCs w:val="20"/>
          <w:color w:val="auto"/>
        </w:rPr>
      </w:pPr>
    </w:p>
    <w:p>
      <w:pPr>
        <w:ind w:left="1500" w:right="120" w:firstLine="754"/>
        <w:spacing w:after="0"/>
        <w:tabs>
          <w:tab w:leader="none" w:pos="25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outstanding option to purchase shares of Common Stock of the Company and each other equity-based award, including without limitation, restricted stock units, held by the Executive shall vest in full (with any performance-based equity awards vesting at target levels) and, as applicable, become immediately exercisable in full.</w:t>
      </w:r>
    </w:p>
    <w:p>
      <w:pPr>
        <w:spacing w:after="0" w:line="176" w:lineRule="exact"/>
        <w:rPr>
          <w:sz w:val="20"/>
          <w:szCs w:val="20"/>
          <w:color w:val="auto"/>
        </w:rPr>
      </w:pPr>
    </w:p>
    <w:p>
      <w:pPr>
        <w:ind w:right="140" w:firstLine="749"/>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Resignation without Good Reason following Change in Control; Termination for Death or Disability</w:t>
      </w:r>
      <w:r>
        <w:rPr>
          <w:rFonts w:ascii="Arial" w:cs="Arial" w:eastAsia="Arial" w:hAnsi="Arial"/>
          <w:sz w:val="22"/>
          <w:szCs w:val="22"/>
          <w:color w:val="auto"/>
        </w:rPr>
        <w:t>. If the Executive voluntarily terminates the Executive’s employment with the Company within 24 months following the Change in Control Date, excluding a termination for Good Reason, or if the Executive’s employment with the Company is terminated by reason of the Executive’s death or Disability, then the Company shall pay the Executive (or the Executive’s estate, if applicable) the Accrued Obligations in a lump sum in cash on the first regular payroll after the Date of Termination.</w:t>
      </w:r>
    </w:p>
    <w:p>
      <w:pPr>
        <w:spacing w:after="0" w:line="182" w:lineRule="exact"/>
        <w:rPr>
          <w:sz w:val="20"/>
          <w:szCs w:val="20"/>
          <w:color w:val="auto"/>
        </w:rPr>
      </w:pPr>
    </w:p>
    <w:p>
      <w:pPr>
        <w:ind w:firstLine="749"/>
        <w:spacing w:after="0" w:line="234"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Termination for Cause; Resignation prior to Change in Control</w:t>
      </w:r>
      <w:r>
        <w:rPr>
          <w:rFonts w:ascii="Arial" w:cs="Arial" w:eastAsia="Arial" w:hAnsi="Arial"/>
          <w:sz w:val="22"/>
          <w:szCs w:val="22"/>
          <w:color w:val="auto"/>
        </w:rPr>
        <w:t>. If the Company terminates the Executive’s employment with the Company for Cause or if the Executive voluntarily terminates the Executive’s employment with the Company prior to a Change in Control, then the Company shall pay the Executive, in a lump sum in cash on the Date of Termination, the sum of (a) the Executive’s base salary earned through the Date of Termination, (b) the amount of any compensation previously deferred by the Executive, provided that such payment of deferred compensation is consistent with any elections the Executive may have made with respect thereto, and (c) any accrued but unpaid vacation pay, in each case to the extent not previously paid. The Executive must provide six (6) months’ prior written notice to the Company, given in accordance with Section 7, of the Executive’s voluntary resignation prior to a Change in Control.</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left="760" w:right="40" w:firstLine="745"/>
        <w:spacing w:after="0" w:line="238" w:lineRule="auto"/>
        <w:tabs>
          <w:tab w:leader="none" w:pos="1833"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except as set forth in Section 4.5(b), in the event that the Company undergoes a “</w:t>
      </w:r>
      <w:r>
        <w:rPr>
          <w:rFonts w:ascii="Arial" w:cs="Arial" w:eastAsia="Arial" w:hAnsi="Arial"/>
          <w:sz w:val="22"/>
          <w:szCs w:val="22"/>
          <w:u w:val="single" w:color="auto"/>
          <w:color w:val="auto"/>
        </w:rPr>
        <w:t>Change in Ownership or Control</w:t>
      </w:r>
      <w:r>
        <w:rPr>
          <w:rFonts w:ascii="Arial" w:cs="Arial" w:eastAsia="Arial" w:hAnsi="Arial"/>
          <w:sz w:val="22"/>
          <w:szCs w:val="22"/>
          <w:color w:val="auto"/>
        </w:rPr>
        <w:t>” (as defined below), the Company shall not be obligated to provide to the Executive a portion of any “Contingent Compensation Payments” (as defined below) that the Executive would otherwise be entitled to receive to the extent necessary to eliminate any “excess parachute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46" w:name="page47"/>
    <w:bookmarkEnd w:id="46"/>
    <w:p>
      <w:pPr>
        <w:ind w:right="60"/>
        <w:spacing w:after="0" w:line="238" w:lineRule="auto"/>
        <w:rPr>
          <w:sz w:val="20"/>
          <w:szCs w:val="20"/>
          <w:color w:val="auto"/>
        </w:rPr>
      </w:pPr>
      <w:r>
        <w:rPr>
          <w:rFonts w:ascii="Arial" w:cs="Arial" w:eastAsia="Arial" w:hAnsi="Arial"/>
          <w:sz w:val="22"/>
          <w:szCs w:val="22"/>
          <w:color w:val="auto"/>
        </w:rPr>
        <w:t>payments” (as defined in Section 280G(b)(l) of the Code) for the Executive. For purposes of this Section 4.5,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w:t>
      </w:r>
      <w:r>
        <w:rPr>
          <w:rFonts w:ascii="Arial" w:cs="Arial" w:eastAsia="Arial" w:hAnsi="Arial"/>
          <w:sz w:val="22"/>
          <w:szCs w:val="22"/>
          <w:u w:val="single" w:color="auto"/>
          <w:color w:val="auto"/>
        </w:rPr>
        <w:t>Eliminated Amount</w:t>
      </w:r>
      <w:r>
        <w:rPr>
          <w:rFonts w:ascii="Arial" w:cs="Arial" w:eastAsia="Arial" w:hAnsi="Arial"/>
          <w:sz w:val="22"/>
          <w:szCs w:val="22"/>
          <w:color w:val="auto"/>
        </w:rPr>
        <w:t>.”</w:t>
      </w:r>
    </w:p>
    <w:p>
      <w:pPr>
        <w:spacing w:after="0" w:line="177" w:lineRule="exact"/>
        <w:rPr>
          <w:sz w:val="20"/>
          <w:szCs w:val="20"/>
          <w:color w:val="auto"/>
        </w:rPr>
      </w:pPr>
    </w:p>
    <w:p>
      <w:pPr>
        <w:ind w:firstLine="745"/>
        <w:spacing w:after="0" w:line="233" w:lineRule="auto"/>
        <w:tabs>
          <w:tab w:leader="none" w:pos="1073"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Notwithstanding the provisions of Section 4.5(a), no such reduction in Contingent Compensation Payments shall be made if (i) the Eliminated Amount (computed without regard to this sentence) exceeds (ii)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4.5(b) shall be referred to as a “</w:t>
      </w:r>
      <w:r>
        <w:rPr>
          <w:rFonts w:ascii="Arial" w:cs="Arial" w:eastAsia="Arial" w:hAnsi="Arial"/>
          <w:sz w:val="22"/>
          <w:szCs w:val="22"/>
          <w:u w:val="single" w:color="auto"/>
          <w:color w:val="auto"/>
        </w:rPr>
        <w:t>Section 4.5(b) Override</w:t>
      </w:r>
      <w:r>
        <w:rPr>
          <w:rFonts w:ascii="Arial" w:cs="Arial" w:eastAsia="Arial" w:hAnsi="Arial"/>
          <w:sz w:val="22"/>
          <w:szCs w:val="22"/>
          <w:color w:val="auto"/>
        </w:rPr>
        <w:t>.”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bylaw.</w:t>
      </w:r>
    </w:p>
    <w:p>
      <w:pPr>
        <w:spacing w:after="0" w:line="182" w:lineRule="exact"/>
        <w:rPr>
          <w:rFonts w:ascii="Arial" w:cs="Arial" w:eastAsia="Arial" w:hAnsi="Arial"/>
          <w:sz w:val="22"/>
          <w:szCs w:val="22"/>
          <w:color w:val="auto"/>
        </w:rPr>
      </w:pPr>
    </w:p>
    <w:p>
      <w:pPr>
        <w:ind w:left="1060" w:hanging="315"/>
        <w:spacing w:after="0"/>
        <w:tabs>
          <w:tab w:leader="none" w:pos="10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For purposes of this Section 4.5, the following terms shall have the following respective meanings:</w:t>
      </w:r>
    </w:p>
    <w:p>
      <w:pPr>
        <w:spacing w:after="0" w:line="217" w:lineRule="exact"/>
        <w:rPr>
          <w:rFonts w:ascii="Arial" w:cs="Arial" w:eastAsia="Arial" w:hAnsi="Arial"/>
          <w:sz w:val="21"/>
          <w:szCs w:val="21"/>
          <w:color w:val="auto"/>
        </w:rPr>
      </w:pPr>
    </w:p>
    <w:p>
      <w:pPr>
        <w:ind w:left="740" w:right="480" w:firstLine="754"/>
        <w:spacing w:after="0" w:line="245" w:lineRule="auto"/>
        <w:tabs>
          <w:tab w:leader="none" w:pos="1741" w:val="left"/>
        </w:tabs>
        <w:numPr>
          <w:ilvl w:val="1"/>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Ownership or Control</w:t>
      </w:r>
      <w:r>
        <w:rPr>
          <w:rFonts w:ascii="Arial" w:cs="Arial" w:eastAsia="Arial" w:hAnsi="Arial"/>
          <w:sz w:val="22"/>
          <w:szCs w:val="22"/>
          <w:color w:val="auto"/>
        </w:rPr>
        <w:t>” shall mean a change in the ownership or effective control of the Company or in the ownership of a substantial portion of the assets of the Company determined in accordance with Section 280G(b)(2) of the Code.</w:t>
      </w:r>
    </w:p>
    <w:p>
      <w:pPr>
        <w:spacing w:after="0" w:line="170" w:lineRule="exact"/>
        <w:rPr>
          <w:rFonts w:ascii="Arial" w:cs="Arial" w:eastAsia="Arial" w:hAnsi="Arial"/>
          <w:sz w:val="22"/>
          <w:szCs w:val="22"/>
          <w:color w:val="auto"/>
        </w:rPr>
      </w:pPr>
    </w:p>
    <w:p>
      <w:pPr>
        <w:ind w:left="740" w:right="80" w:firstLine="754"/>
        <w:spacing w:after="0" w:line="255" w:lineRule="auto"/>
        <w:tabs>
          <w:tab w:leader="none" w:pos="1788" w:val="left"/>
        </w:tabs>
        <w:numPr>
          <w:ilvl w:val="1"/>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Compensation Payment</w:t>
      </w:r>
      <w:r>
        <w:rPr>
          <w:rFonts w:ascii="Arial" w:cs="Arial" w:eastAsia="Arial" w:hAnsi="Arial"/>
          <w:sz w:val="21"/>
          <w:szCs w:val="21"/>
          <w:color w:val="auto"/>
        </w:rPr>
        <w: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61" w:lineRule="exact"/>
        <w:rPr>
          <w:rFonts w:ascii="Arial" w:cs="Arial" w:eastAsia="Arial" w:hAnsi="Arial"/>
          <w:sz w:val="21"/>
          <w:szCs w:val="21"/>
          <w:color w:val="auto"/>
        </w:rPr>
      </w:pPr>
    </w:p>
    <w:p>
      <w:pPr>
        <w:ind w:right="40" w:firstLine="745"/>
        <w:spacing w:after="0" w:line="247" w:lineRule="auto"/>
        <w:tabs>
          <w:tab w:leader="none" w:pos="1073"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payments or other benefits otherwise due to the Executive following a Change in Ownership or Control that could reasonably be characterized (as determined by the Company) as Contingent Compensation Payments (the “</w:t>
      </w:r>
      <w:r>
        <w:rPr>
          <w:rFonts w:ascii="Arial" w:cs="Arial" w:eastAsia="Arial" w:hAnsi="Arial"/>
          <w:sz w:val="21"/>
          <w:szCs w:val="21"/>
          <w:u w:val="single" w:color="auto"/>
          <w:color w:val="auto"/>
        </w:rPr>
        <w:t>Potential Payments</w:t>
      </w:r>
      <w:r>
        <w:rPr>
          <w:rFonts w:ascii="Arial" w:cs="Arial" w:eastAsia="Arial" w:hAnsi="Arial"/>
          <w:sz w:val="21"/>
          <w:szCs w:val="21"/>
          <w:color w:val="auto"/>
        </w:rPr>
        <w:t>”) shall not be made until the dates provided for in this Section 4.5(d). Within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(i) which Potential Payments constitute Contingent Compensation Payments, (ii) the Eliminated Amount and (iii) whether the Section 4.5(b) Override is applicable. Within</w:t>
      </w:r>
    </w:p>
    <w:p>
      <w:pPr>
        <w:spacing w:after="0" w:line="38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36" w:right="379" w:bottom="1440" w:gutter="0" w:footer="0" w:header="0"/>
        </w:sectPr>
      </w:pPr>
    </w:p>
    <w:bookmarkStart w:id="47" w:name="page48"/>
    <w:bookmarkEnd w:id="47"/>
    <w:p>
      <w:pPr>
        <w:spacing w:after="0" w:line="232" w:lineRule="auto"/>
        <w:rPr>
          <w:sz w:val="20"/>
          <w:szCs w:val="20"/>
          <w:color w:val="auto"/>
        </w:rPr>
      </w:pPr>
      <w:r>
        <w:rPr>
          <w:rFonts w:ascii="Arial" w:cs="Arial" w:eastAsia="Arial" w:hAnsi="Arial"/>
          <w:sz w:val="22"/>
          <w:szCs w:val="22"/>
          <w:color w:val="auto"/>
        </w:rPr>
        <w:t>30 days after delivery of such notice to the Executive, the Executive shall deliver a response to the Company (the “</w:t>
      </w:r>
      <w:r>
        <w:rPr>
          <w:rFonts w:ascii="Arial" w:cs="Arial" w:eastAsia="Arial" w:hAnsi="Arial"/>
          <w:sz w:val="22"/>
          <w:szCs w:val="22"/>
          <w:u w:val="single" w:color="auto"/>
          <w:color w:val="auto"/>
        </w:rPr>
        <w:t>Executive Response</w:t>
      </w:r>
      <w:r>
        <w:rPr>
          <w:rFonts w:ascii="Arial" w:cs="Arial" w:eastAsia="Arial" w:hAnsi="Arial"/>
          <w:sz w:val="22"/>
          <w:szCs w:val="22"/>
          <w:color w:val="auto"/>
        </w:rPr>
        <w:t xml:space="preserve"> ”) stating either (A) that the Executive agrees with the Company’s determination pursuant to the preceding sentence or (B) that the Executive disagrees with such determination, in which case the Executive shall set forth (i) which Potential Payments should be characterized as Contingent Compensation Payments, (ii) the Eliminated Amount, and (iii) whether the Section 4.5(b)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 Subject to the limitations contained in Sections 4.5(a) and (b) hereof, the amount of any payments to be made to the Executive following the resolution of such dispute shall be increased by amount of the accrued interest thereon computed at the prime rate announced from time to time by Bank of America or its successor, compounded monthly from the date that such payments originally were due.</w:t>
      </w:r>
    </w:p>
    <w:p>
      <w:pPr>
        <w:spacing w:after="0" w:line="176" w:lineRule="exact"/>
        <w:rPr>
          <w:sz w:val="20"/>
          <w:szCs w:val="20"/>
          <w:color w:val="auto"/>
        </w:rPr>
      </w:pPr>
    </w:p>
    <w:p>
      <w:pPr>
        <w:ind w:right="120" w:firstLine="745"/>
        <w:spacing w:after="0" w:line="234" w:lineRule="auto"/>
        <w:tabs>
          <w:tab w:leader="none" w:pos="1073"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w:t>
      </w:r>
    </w:p>
    <w:p>
      <w:pPr>
        <w:spacing w:after="0" w:line="39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36" w:right="359" w:bottom="1440" w:gutter="0" w:footer="0" w:header="0"/>
        </w:sectPr>
      </w:pPr>
    </w:p>
    <w:bookmarkStart w:id="48" w:name="page49"/>
    <w:bookmarkEnd w:id="48"/>
    <w:p>
      <w:pPr>
        <w:ind w:right="4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Compensation Payment Ratio</w:t>
      </w:r>
      <w:r>
        <w:rPr>
          <w:rFonts w:ascii="Arial" w:cs="Arial" w:eastAsia="Arial" w:hAnsi="Arial"/>
          <w:sz w:val="22"/>
          <w:szCs w:val="22"/>
          <w:color w:val="auto"/>
        </w:rPr>
        <w:t>” 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1.280G-lQ/A-24(b) or (c)).</w:t>
      </w:r>
    </w:p>
    <w:p>
      <w:pPr>
        <w:spacing w:after="0" w:line="183" w:lineRule="exact"/>
        <w:rPr>
          <w:sz w:val="20"/>
          <w:szCs w:val="20"/>
          <w:color w:val="auto"/>
        </w:rPr>
      </w:pPr>
    </w:p>
    <w:p>
      <w:pPr>
        <w:ind w:right="60" w:firstLine="745"/>
        <w:spacing w:after="0" w:line="245" w:lineRule="auto"/>
        <w:tabs>
          <w:tab w:leader="none" w:pos="10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provisions of this Section 4.5 are intended to apply to any and all payments or benefits available to the Executive under this Agreement or any other agreement or plan of the Company under which the Executive receives Contingent Compensation Payments.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Distributions; Section 409A of the Code</w:t>
      </w:r>
      <w:r>
        <w:rPr>
          <w:rFonts w:ascii="Arial" w:cs="Arial" w:eastAsia="Arial" w:hAnsi="Arial"/>
          <w:sz w:val="22"/>
          <w:szCs w:val="22"/>
          <w:color w:val="auto"/>
        </w:rPr>
        <w:t>.</w:t>
      </w:r>
    </w:p>
    <w:p>
      <w:pPr>
        <w:spacing w:after="0" w:line="206" w:lineRule="exact"/>
        <w:rPr>
          <w:sz w:val="20"/>
          <w:szCs w:val="20"/>
          <w:color w:val="auto"/>
        </w:rPr>
      </w:pPr>
    </w:p>
    <w:p>
      <w:pPr>
        <w:ind w:right="120" w:firstLine="745"/>
        <w:spacing w:after="0" w:line="236" w:lineRule="auto"/>
        <w:tabs>
          <w:tab w:leader="none" w:pos="10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Subject to the provisions in this Section 4.6, any severance payments or benefits under this Agreement shall begin only upon the date of the Executive’s “separation from service” (determined as set forth below) which occurs on or after the Executive’s Date of Termination. It is intended that each installment of the payments and benefits provided under this Section 4 shall be treated as a separate “payment” for purposes of Section 409A of the Code and the guidance issued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Neither the Company nor the Executive shall have the right to accelerate or defer the delivery of any such payments or benefits except to the extent specifically permitted or required by Section 409A.</w:t>
      </w:r>
    </w:p>
    <w:p>
      <w:pPr>
        <w:spacing w:after="0" w:line="175" w:lineRule="exact"/>
        <w:rPr>
          <w:rFonts w:ascii="Arial" w:cs="Arial" w:eastAsia="Arial" w:hAnsi="Arial"/>
          <w:sz w:val="22"/>
          <w:szCs w:val="22"/>
          <w:color w:val="auto"/>
        </w:rPr>
      </w:pPr>
    </w:p>
    <w:p>
      <w:pPr>
        <w:ind w:right="200" w:firstLine="745"/>
        <w:spacing w:after="0" w:line="245" w:lineRule="auto"/>
        <w:tabs>
          <w:tab w:leader="none" w:pos="10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as of the date of the “separation from service” of the Executive from the Company, the Executive is not a “specified employee” (each within the meaning of Section 409A), then each installment of the severance payments and benefits shall be made on the dates and terms set forth in this Section 4.</w:t>
      </w:r>
    </w:p>
    <w:p>
      <w:pPr>
        <w:spacing w:after="0" w:line="170" w:lineRule="exact"/>
        <w:rPr>
          <w:rFonts w:ascii="Arial" w:cs="Arial" w:eastAsia="Arial" w:hAnsi="Arial"/>
          <w:sz w:val="22"/>
          <w:szCs w:val="22"/>
          <w:color w:val="auto"/>
        </w:rPr>
      </w:pPr>
    </w:p>
    <w:p>
      <w:pPr>
        <w:ind w:firstLine="745"/>
        <w:spacing w:after="0" w:line="259" w:lineRule="auto"/>
        <w:tabs>
          <w:tab w:leader="none" w:pos="1061"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(each, for purposes of this Agreement, within the meaning of Section 409A), then:</w:t>
      </w:r>
    </w:p>
    <w:p>
      <w:pPr>
        <w:spacing w:after="0" w:line="156" w:lineRule="exact"/>
        <w:rPr>
          <w:rFonts w:ascii="Arial" w:cs="Arial" w:eastAsia="Arial" w:hAnsi="Arial"/>
          <w:sz w:val="22"/>
          <w:szCs w:val="22"/>
          <w:color w:val="auto"/>
        </w:rPr>
      </w:pPr>
    </w:p>
    <w:p>
      <w:pPr>
        <w:ind w:left="740" w:right="20" w:firstLine="754"/>
        <w:spacing w:after="0" w:line="249" w:lineRule="auto"/>
        <w:tabs>
          <w:tab w:leader="none" w:pos="1741" w:val="left"/>
        </w:tabs>
        <w:numPr>
          <w:ilvl w:val="1"/>
          <w:numId w:val="36"/>
        </w:numPr>
        <w:rPr>
          <w:rFonts w:ascii="Arial" w:cs="Arial" w:eastAsia="Arial" w:hAnsi="Arial"/>
          <w:sz w:val="21"/>
          <w:szCs w:val="21"/>
          <w:color w:val="auto"/>
        </w:rPr>
      </w:pPr>
      <w:r>
        <w:rPr>
          <w:rFonts w:ascii="Arial" w:cs="Arial" w:eastAsia="Arial" w:hAnsi="Arial"/>
          <w:sz w:val="21"/>
          <w:szCs w:val="21"/>
          <w:color w:val="auto"/>
        </w:rPr>
        <w:t>Each installment of the severance payments and benefits due under this Section 4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spacing w:after="0" w:line="3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36" w:right="359" w:bottom="1440" w:gutter="0" w:footer="0" w:header="0"/>
        </w:sectPr>
      </w:pPr>
    </w:p>
    <w:bookmarkStart w:id="49" w:name="page50"/>
    <w:bookmarkEnd w:id="49"/>
    <w:p>
      <w:pPr>
        <w:ind w:left="1500" w:firstLine="754"/>
        <w:spacing w:after="0" w:line="233" w:lineRule="auto"/>
        <w:tabs>
          <w:tab w:leader="none" w:pos="2548"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installment of the severance payments and benefits due under this Section 4 that is not described in Section 4.6(c)(i) above and that would, absent this subsection, be paid within the six-month period following the Executive’s “separation from service” from the Company shall not be paid until the date that is six months and one day after such separation from service (or, if earlier, the death of the Executive),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1.409A-1(b)(9)(iii) must be paid no later than the last day of the second taxable year of the Executive following the taxable year of the Executive in which the separation from service occurs.</w:t>
      </w:r>
    </w:p>
    <w:p>
      <w:pPr>
        <w:spacing w:after="0" w:line="177" w:lineRule="exact"/>
        <w:rPr>
          <w:rFonts w:ascii="Arial" w:cs="Arial" w:eastAsia="Arial" w:hAnsi="Arial"/>
          <w:sz w:val="22"/>
          <w:szCs w:val="22"/>
          <w:color w:val="auto"/>
        </w:rPr>
      </w:pPr>
    </w:p>
    <w:p>
      <w:pPr>
        <w:ind w:left="760" w:right="220" w:firstLine="745"/>
        <w:spacing w:after="0" w:line="238" w:lineRule="auto"/>
        <w:tabs>
          <w:tab w:leader="none" w:pos="183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determination of whether and when the Executive’s separation from service from the Company has occurred shall be made and in a manner consistent with and based on the presumptions set forth in, Treasury Regulation Section 1.409A-l(h). Solely for purposes of this Section 4.6, “Company” shall include all persons with whom the Company would be considered a single employer under Section 414 and 414(c) of the Code.</w:t>
      </w:r>
    </w:p>
    <w:p>
      <w:pPr>
        <w:spacing w:after="0" w:line="176" w:lineRule="exact"/>
        <w:rPr>
          <w:rFonts w:ascii="Arial" w:cs="Arial" w:eastAsia="Arial" w:hAnsi="Arial"/>
          <w:sz w:val="22"/>
          <w:szCs w:val="22"/>
          <w:color w:val="auto"/>
        </w:rPr>
      </w:pPr>
    </w:p>
    <w:p>
      <w:pPr>
        <w:ind w:left="760" w:right="60" w:firstLine="745"/>
        <w:spacing w:after="0" w:line="234" w:lineRule="auto"/>
        <w:tabs>
          <w:tab w:leader="none" w:pos="1833" w:val="left"/>
        </w:tabs>
        <w:numPr>
          <w:ilvl w:val="0"/>
          <w:numId w:val="38"/>
        </w:numPr>
        <w:rPr>
          <w:rFonts w:ascii="Arial" w:cs="Arial" w:eastAsia="Arial" w:hAnsi="Arial"/>
          <w:sz w:val="22"/>
          <w:szCs w:val="22"/>
          <w:color w:val="auto"/>
        </w:rPr>
      </w:pPr>
      <w:r>
        <w:rPr>
          <w:rFonts w:ascii="Arial" w:cs="Arial" w:eastAsia="Arial" w:hAnsi="Arial"/>
          <w:sz w:val="22"/>
          <w:szCs w:val="22"/>
          <w:color w:val="auto"/>
        </w:rPr>
        <w:t>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3" w:lineRule="exact"/>
        <w:rPr>
          <w:rFonts w:ascii="Arial" w:cs="Arial" w:eastAsia="Arial" w:hAnsi="Arial"/>
          <w:sz w:val="22"/>
          <w:szCs w:val="22"/>
          <w:color w:val="auto"/>
        </w:rPr>
      </w:pPr>
    </w:p>
    <w:p>
      <w:pPr>
        <w:ind w:left="760" w:right="240" w:firstLine="745"/>
        <w:spacing w:after="0"/>
        <w:tabs>
          <w:tab w:leader="none" w:pos="1773"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Notwithstanding anything herein to the contrary, neither the Company, the Board nor its or their designees or agents shall have any liability to the Executive or to any other person if the payments and benefits provided hereunder that are intended to be exempt from or compliant with Section 409A are not so exempt or compliant.</w:t>
      </w:r>
    </w:p>
    <w:p>
      <w:pPr>
        <w:spacing w:after="0" w:line="17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Release; Sole Remedy</w:t>
      </w:r>
      <w:r>
        <w:rPr>
          <w:rFonts w:ascii="Arial" w:cs="Arial" w:eastAsia="Arial" w:hAnsi="Arial"/>
          <w:sz w:val="22"/>
          <w:szCs w:val="22"/>
          <w:color w:val="auto"/>
        </w:rPr>
        <w:t>. The Company’s obligation to make the severance payments and provide the severance benefits to the Executive under this Agreement are conditioned upon (i) the execution and non-revocation by the Executive of a release of claims (in a form provided by the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50" w:name="page51"/>
    <w:bookmarkEnd w:id="50"/>
    <w:p>
      <w:pPr>
        <w:ind w:right="40"/>
        <w:spacing w:after="0" w:line="234" w:lineRule="auto"/>
        <w:rPr>
          <w:sz w:val="20"/>
          <w:szCs w:val="20"/>
          <w:color w:val="auto"/>
        </w:rPr>
      </w:pPr>
      <w:r>
        <w:rPr>
          <w:rFonts w:ascii="Arial" w:cs="Arial" w:eastAsia="Arial" w:hAnsi="Arial"/>
          <w:sz w:val="22"/>
          <w:szCs w:val="22"/>
          <w:color w:val="auto"/>
        </w:rPr>
        <w:t>Company within fourteen (14) days following the end of Executive’s employment)(the “Release”) within 60 days following the Date of Termination, and (ii) the Executive’s compliance with any employment, consulting, advisory, nondisclosure, non-competition or other similar agreement between the Executive and the Company, provided that the Executive shall be deemed to have been in compliance with the provisions of such agreement if, within ten (10) days of written notice thereof, such noncompliance is cured, unless the Board determines in good faith that noncompliance is not curable, and (b) constitute the sole remedy of the Executive in the event of a termination of the Executive’s employment for any reason. The date on which the Release becomes effective shall be the “</w:t>
      </w: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Notwithstanding the foregoing, if the 60</w:t>
      </w:r>
      <w:r>
        <w:rPr>
          <w:rFonts w:ascii="Arial" w:cs="Arial" w:eastAsia="Arial" w:hAnsi="Arial"/>
          <w:sz w:val="17"/>
          <w:szCs w:val="17"/>
          <w:color w:val="auto"/>
        </w:rPr>
        <w:t>th</w:t>
      </w:r>
      <w:r>
        <w:rPr>
          <w:rFonts w:ascii="Arial" w:cs="Arial" w:eastAsia="Arial" w:hAnsi="Arial"/>
          <w:sz w:val="22"/>
          <w:szCs w:val="22"/>
          <w:color w:val="auto"/>
        </w:rPr>
        <w:t xml:space="preserve"> day following the date of termination occurs in the calendar year following the calendar year of the termination, then the Release Effective Date shall be no earlier than January 1 of such subsequent calendar year.</w:t>
      </w:r>
    </w:p>
    <w:p>
      <w:pPr>
        <w:spacing w:after="0" w:line="180"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Mitigation</w:t>
      </w:r>
      <w:r>
        <w:rPr>
          <w:rFonts w:ascii="Arial" w:cs="Arial" w:eastAsia="Arial" w:hAnsi="Arial"/>
          <w:sz w:val="22"/>
          <w:szCs w:val="22"/>
          <w:color w:val="auto"/>
        </w:rPr>
        <w:t>. The Executive shall not be required to mitigate the amount of any payment or benefits provided for in this Section 4 by seeking other employment or otherwise. Further, except as provided in Section 4.1(b) and Section 4.5, the amount of any payment or benefits provided for in this Section 4 shall not be reduced by any compensation earned by the Executive as a result of employment by another employer, by retirement benefits, by offset against any amount claimed to be owed by the Executive to the Company or otherwise.</w:t>
      </w:r>
    </w:p>
    <w:p>
      <w:pPr>
        <w:spacing w:after="0" w:line="177" w:lineRule="exact"/>
        <w:rPr>
          <w:sz w:val="20"/>
          <w:szCs w:val="20"/>
          <w:color w:val="auto"/>
        </w:rPr>
      </w:pPr>
    </w:p>
    <w:p>
      <w:pPr>
        <w:ind w:left="1000" w:hanging="243"/>
        <w:spacing w:after="0"/>
        <w:tabs>
          <w:tab w:leader="none" w:pos="10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Disputes</w:t>
      </w:r>
      <w:r>
        <w:rPr>
          <w:rFonts w:ascii="Arial" w:cs="Arial" w:eastAsia="Arial" w:hAnsi="Arial"/>
          <w:sz w:val="22"/>
          <w:szCs w:val="22"/>
          <w:color w:val="auto"/>
        </w:rPr>
        <w:t>.</w:t>
      </w:r>
    </w:p>
    <w:p>
      <w:pPr>
        <w:spacing w:after="0" w:line="206" w:lineRule="exact"/>
        <w:rPr>
          <w:sz w:val="20"/>
          <w:szCs w:val="20"/>
          <w:color w:val="auto"/>
        </w:rPr>
      </w:pPr>
    </w:p>
    <w:p>
      <w:pPr>
        <w:ind w:right="60" w:firstLine="749"/>
        <w:spacing w:after="0" w:line="23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Settlement of Disputes; Arbitration</w:t>
      </w:r>
      <w:r>
        <w:rPr>
          <w:rFonts w:ascii="Arial" w:cs="Arial" w:eastAsia="Arial" w:hAnsi="Arial"/>
          <w:sz w:val="22"/>
          <w:szCs w:val="22"/>
          <w:color w:val="auto"/>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shall be settled exclusively by binding arbitration in Boston, Massachusetts, in accordance with the Employment Arbitration rules of the American Arbitration Association then in effect. Judgment may be entered on the arbitrator’s award in any court having jurisdiction.</w:t>
      </w:r>
    </w:p>
    <w:p>
      <w:pPr>
        <w:spacing w:after="0" w:line="178" w:lineRule="exact"/>
        <w:rPr>
          <w:sz w:val="20"/>
          <w:szCs w:val="20"/>
          <w:color w:val="auto"/>
        </w:rPr>
      </w:pPr>
    </w:p>
    <w:p>
      <w:pPr>
        <w:ind w:right="20" w:firstLine="749"/>
        <w:spacing w:after="0" w:line="24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Expenses</w:t>
      </w:r>
      <w:r>
        <w:rPr>
          <w:rFonts w:ascii="Arial" w:cs="Arial" w:eastAsia="Arial" w:hAnsi="Arial"/>
          <w:sz w:val="21"/>
          <w:szCs w:val="21"/>
          <w:color w:val="auto"/>
        </w:rPr>
        <w:t>. If the Change in Control Date occurs during the Term, the Company agrees to pay as incurred, to the full extent permitted by law, all legal, accounting and other fees and expenses which the Executive may reasonably incur after the Change in Control Date as a result of any claim or contest (regardless of the outcome thereof) by the Company, the Executive or others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w:t>
      </w:r>
    </w:p>
    <w:p>
      <w:pPr>
        <w:spacing w:after="0" w:line="170" w:lineRule="exact"/>
        <w:rPr>
          <w:sz w:val="20"/>
          <w:szCs w:val="20"/>
          <w:color w:val="auto"/>
        </w:rPr>
      </w:pPr>
    </w:p>
    <w:p>
      <w:pPr>
        <w:ind w:right="40" w:firstLine="749"/>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Compensation During a Dispute</w:t>
      </w:r>
      <w:r>
        <w:rPr>
          <w:rFonts w:ascii="Arial" w:cs="Arial" w:eastAsia="Arial" w:hAnsi="Arial"/>
          <w:sz w:val="22"/>
          <w:szCs w:val="22"/>
          <w:color w:val="auto"/>
        </w:rPr>
        <w:t xml:space="preserve"> . If the Change in Control Date occurs during the Term and the Executive’s employment with the Company terminates within twenty-four (24) months following the Change in Control Date, and the right of the Executive to receive benefits under Section 4 (or the amount or nature of the benefits to which the Executive is entitled to receive) are the subject of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51" w:name="page52"/>
    <w:bookmarkEnd w:id="51"/>
    <w:p>
      <w:pPr>
        <w:ind w:right="60"/>
        <w:spacing w:after="0" w:line="244" w:lineRule="auto"/>
        <w:rPr>
          <w:sz w:val="20"/>
          <w:szCs w:val="20"/>
          <w:color w:val="auto"/>
        </w:rPr>
      </w:pPr>
      <w:r>
        <w:rPr>
          <w:rFonts w:ascii="Arial" w:cs="Arial" w:eastAsia="Arial" w:hAnsi="Arial"/>
          <w:sz w:val="21"/>
          <w:szCs w:val="21"/>
          <w:color w:val="auto"/>
        </w:rPr>
        <w:t>bona fide dispute between the Company and the Executive, the Company shall continue (a) to pay to the Executive the Executive’s base salary in effect as of the Measurement Date and (b) to provide benefits to the Executive and the Executive’s family at least equal to those which would have been provided to them, if the Executive’s employment had not been terminated, in accordance with the applicable benefit plans in effect on the Measurement Date, until such dispute is resolved either by mutual written agreement of the parties or by an arbitrator’s award pursuant to Section 5.1. Following the resolution of such dispute, the sum of the payments made to the Executive under clause</w:t>
      </w:r>
    </w:p>
    <w:p>
      <w:pPr>
        <w:spacing w:after="0" w:line="5" w:lineRule="exact"/>
        <w:rPr>
          <w:sz w:val="20"/>
          <w:szCs w:val="20"/>
          <w:color w:val="auto"/>
        </w:rPr>
      </w:pPr>
    </w:p>
    <w:p>
      <w:pPr>
        <w:ind w:right="60" w:firstLine="8"/>
        <w:spacing w:after="0" w:line="235" w:lineRule="auto"/>
        <w:tabs>
          <w:tab w:leader="none" w:pos="324" w:val="left"/>
        </w:tabs>
        <w:numPr>
          <w:ilvl w:val="0"/>
          <w:numId w:val="40"/>
        </w:numPr>
        <w:rPr>
          <w:rFonts w:ascii="Arial" w:cs="Arial" w:eastAsia="Arial" w:hAnsi="Arial"/>
          <w:sz w:val="22"/>
          <w:szCs w:val="22"/>
          <w:color w:val="auto"/>
        </w:rPr>
      </w:pPr>
      <w:r>
        <w:rPr>
          <w:rFonts w:ascii="Arial" w:cs="Arial" w:eastAsia="Arial" w:hAnsi="Arial"/>
          <w:sz w:val="22"/>
          <w:szCs w:val="22"/>
          <w:color w:val="auto"/>
        </w:rPr>
        <w:t>of this Section 5.3 shall be deducted from any cash payment which the Executive is entitled to receive pursuant to Section 4; and if such sum exceeds the amount of the cash payment which the Executive is entitled to receive pursuant to Section 4, the excess of such sum over the amount of such payment shall be repaid (without interest) by the Executive to the Company within 60 days of the resolution of such dispute.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0" w:hanging="243"/>
        <w:spacing w:after="0"/>
        <w:tabs>
          <w:tab w:leader="none" w:pos="10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sz w:val="20"/>
          <w:szCs w:val="20"/>
          <w:color w:val="auto"/>
        </w:rPr>
      </w:pPr>
    </w:p>
    <w:p>
      <w:pPr>
        <w:ind w:right="60" w:firstLine="749"/>
        <w:spacing w:after="0" w:line="24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Successor to Company</w:t>
      </w:r>
      <w:r>
        <w:rPr>
          <w:rFonts w:ascii="Arial" w:cs="Arial" w:eastAsia="Arial" w:hAnsi="Arial"/>
          <w:sz w:val="21"/>
          <w:szCs w:val="21"/>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at or prior to the effectiveness of any succession shall be a breach of this Agreement and shall constitute Good Reason if the Executive elects to terminate employment, except that for purposes of implementing the foregoing, the date on which any such succession becomes effective shall be deemed the Date of Termination. As used in this Agreement, “Company” shall mean the Company as defined above and any successor to its business or assets as aforesaid which assumes and agrees to perform this Agreement, by operation of law or otherwise.</w:t>
      </w:r>
    </w:p>
    <w:p>
      <w:pPr>
        <w:spacing w:after="0" w:line="175"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Successor to Executive</w:t>
      </w:r>
      <w:r>
        <w:rPr>
          <w:rFonts w:ascii="Arial" w:cs="Arial" w:eastAsia="Arial" w:hAnsi="Arial"/>
          <w:sz w:val="22"/>
          <w:szCs w:val="22"/>
          <w:color w:val="auto"/>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the Executive’s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82" w:lineRule="exact"/>
        <w:rPr>
          <w:sz w:val="20"/>
          <w:szCs w:val="20"/>
          <w:color w:val="auto"/>
        </w:rPr>
      </w:pPr>
    </w:p>
    <w:p>
      <w:pPr>
        <w:ind w:right="80" w:firstLine="757"/>
        <w:spacing w:after="0" w:line="248" w:lineRule="auto"/>
        <w:tabs>
          <w:tab w:leader="none" w:pos="98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200 Minuteman Road, Andover, Massachusetts 01810, Attn: Chief Executive Officer, and to the Executive at the Executive’s last residential address on file at the Company (or to such other address as either the Company or the Executive may have furnished to the other in writing in accordance herewith). Any such notice, instruction or communication shall be deemed to have been delivered five business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52" w:name="page53"/>
    <w:bookmarkEnd w:id="52"/>
    <w:p>
      <w:pPr>
        <w:ind w:right="100"/>
        <w:spacing w:after="0" w:line="255" w:lineRule="auto"/>
        <w:rPr>
          <w:sz w:val="20"/>
          <w:szCs w:val="20"/>
          <w:color w:val="auto"/>
        </w:rPr>
      </w:pPr>
      <w:r>
        <w:rPr>
          <w:rFonts w:ascii="Arial" w:cs="Arial" w:eastAsia="Arial" w:hAnsi="Arial"/>
          <w:sz w:val="21"/>
          <w:szCs w:val="21"/>
          <w:color w:val="auto"/>
        </w:rPr>
        <w:t>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62" w:lineRule="exact"/>
        <w:rPr>
          <w:sz w:val="20"/>
          <w:szCs w:val="20"/>
          <w:color w:val="auto"/>
        </w:rPr>
      </w:pPr>
    </w:p>
    <w:p>
      <w:pPr>
        <w:ind w:left="1000" w:hanging="243"/>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Employment by Subsidiary</w:t>
      </w:r>
      <w:r>
        <w:rPr>
          <w:rFonts w:ascii="Arial" w:cs="Arial" w:eastAsia="Arial" w:hAnsi="Arial"/>
          <w:sz w:val="22"/>
          <w:szCs w:val="22"/>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70" w:lineRule="exact"/>
        <w:rPr>
          <w:sz w:val="20"/>
          <w:szCs w:val="20"/>
          <w:color w:val="auto"/>
        </w:rPr>
      </w:pPr>
    </w:p>
    <w:p>
      <w:pPr>
        <w:ind w:right="620" w:firstLine="749"/>
        <w:spacing w:after="0" w:line="283"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which shall remain in full force and effect.</w:t>
      </w:r>
    </w:p>
    <w:p>
      <w:pPr>
        <w:spacing w:after="0" w:line="133"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Injunctive Relief</w:t>
      </w:r>
      <w:r>
        <w:rPr>
          <w:rFonts w:ascii="Arial" w:cs="Arial" w:eastAsia="Arial" w:hAnsi="Arial"/>
          <w:sz w:val="22"/>
          <w:szCs w:val="22"/>
          <w:color w:val="auto"/>
        </w:rPr>
        <w:t>. The Company and the Executive agree that any breach of this Agreement by the Company is likely to cause the Executive substantial and irrevocable damage and therefore, in the event of any such breach, in addition to such other remedies which may be available, the Executive shall have the right to specific performance and injunctive relief.</w:t>
      </w:r>
    </w:p>
    <w:p>
      <w:pPr>
        <w:spacing w:after="0" w:line="176" w:lineRule="exact"/>
        <w:rPr>
          <w:sz w:val="20"/>
          <w:szCs w:val="20"/>
          <w:color w:val="auto"/>
        </w:rPr>
      </w:pPr>
    </w:p>
    <w:p>
      <w:pPr>
        <w:ind w:right="260" w:firstLine="749"/>
        <w:spacing w:after="0" w:line="283"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interpretation, construction and performance of this Agreement shall be governed by the internal laws of the Commonwealth of Massachusetts, without regard to conflicts of law principles.</w:t>
      </w:r>
    </w:p>
    <w:p>
      <w:pPr>
        <w:spacing w:after="0" w:line="133" w:lineRule="exact"/>
        <w:rPr>
          <w:sz w:val="20"/>
          <w:szCs w:val="20"/>
          <w:color w:val="auto"/>
        </w:rPr>
      </w:pPr>
    </w:p>
    <w:p>
      <w:pPr>
        <w:ind w:right="320" w:firstLine="749"/>
        <w:spacing w:after="0" w:line="245"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Waivers</w:t>
      </w:r>
      <w:r>
        <w:rPr>
          <w:rFonts w:ascii="Arial" w:cs="Arial" w:eastAsia="Arial" w:hAnsi="Arial"/>
          <w:sz w:val="22"/>
          <w:szCs w:val="22"/>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to be an original but both of which together shall constitute one and the same instrument.</w:t>
      </w:r>
    </w:p>
    <w:p>
      <w:pPr>
        <w:spacing w:after="0" w:line="156"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Tax Withholding</w:t>
      </w:r>
      <w:r>
        <w:rPr>
          <w:rFonts w:ascii="Arial" w:cs="Arial" w:eastAsia="Arial" w:hAnsi="Arial"/>
          <w:sz w:val="22"/>
          <w:szCs w:val="22"/>
          <w:color w:val="auto"/>
        </w:rPr>
        <w:t>. Any payments provided for hereunder shall be paid net of any applicable tax withholding required under federal, state or local law.</w:t>
      </w:r>
    </w:p>
    <w:p>
      <w:pPr>
        <w:spacing w:after="0" w:line="156"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p>
    <w:p>
      <w:pPr>
        <w:spacing w:after="0" w:line="177" w:lineRule="exact"/>
        <w:rPr>
          <w:sz w:val="20"/>
          <w:szCs w:val="20"/>
          <w:color w:val="auto"/>
        </w:rPr>
      </w:pPr>
    </w:p>
    <w:p>
      <w:pPr>
        <w:ind w:right="400" w:firstLine="749"/>
        <w:spacing w:after="0" w:line="259"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be amended or modified only by a written instrument executed by both the Company and the Executive.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53" w:name="page54"/>
    <w:bookmarkEnd w:id="53"/>
    <w:p>
      <w:pPr>
        <w:ind w:firstLine="749"/>
        <w:spacing w:after="0" w:line="236"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Executive’s Acknowledgements</w:t>
      </w:r>
      <w:r>
        <w:rPr>
          <w:rFonts w:ascii="Arial" w:cs="Arial" w:eastAsia="Arial" w:hAnsi="Arial"/>
          <w:sz w:val="22"/>
          <w:szCs w:val="22"/>
          <w:color w:val="auto"/>
        </w:rPr>
        <w:t>. The Executive acknowledges that the Executive: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Ropes&amp;Gray LLP is acting as counsel to the Company in connection with the transactions contemplated by this Agreement, and is not acting as counsel for the Executive.</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36" w:right="439" w:bottom="1440" w:gutter="0" w:footer="0" w:header="0"/>
        </w:sectPr>
      </w:pPr>
    </w:p>
    <w:bookmarkStart w:id="54" w:name="page55"/>
    <w:bookmarkEnd w:id="54"/>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IN WITNESS WHEREOF, the parties hereto have executed this Agreement as of the day and year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TRANSMEDICS,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/s/ Waleed H. Hassanein,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5080</wp:posOffset>
            </wp:positionV>
            <wp:extent cx="27432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9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Waleed H. Hassanein, M.D.</w:t>
      </w:r>
    </w:p>
    <w:p>
      <w:pPr>
        <w:spacing w:after="0" w:line="202"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Giovanni Cecere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Giovanni Cecere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TRANSMEDICS,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Executive Retention Agreement</w:t>
      </w:r>
    </w:p>
    <w:p>
      <w:pPr>
        <w:spacing w:after="0" w:line="206" w:lineRule="exact"/>
        <w:rPr>
          <w:sz w:val="20"/>
          <w:szCs w:val="20"/>
          <w:color w:val="auto"/>
        </w:rPr>
      </w:pPr>
    </w:p>
    <w:p>
      <w:pPr>
        <w:ind w:right="240" w:firstLine="749"/>
        <w:spacing w:after="0" w:line="245" w:lineRule="auto"/>
        <w:rPr>
          <w:sz w:val="20"/>
          <w:szCs w:val="20"/>
          <w:color w:val="auto"/>
        </w:rPr>
      </w:pPr>
      <w:r>
        <w:rPr>
          <w:rFonts w:ascii="Arial" w:cs="Arial" w:eastAsia="Arial" w:hAnsi="Arial"/>
          <w:sz w:val="22"/>
          <w:szCs w:val="22"/>
          <w:color w:val="auto"/>
        </w:rPr>
        <w:t>THIS EXECUTIVE RETENTION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by and between TransMedics, Inc., a Delaware corporation (the “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Matthew S. Forsyth</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Executive</w:t>
      </w:r>
      <w:r>
        <w:rPr>
          <w:rFonts w:ascii="Arial" w:cs="Arial" w:eastAsia="Arial" w:hAnsi="Arial"/>
          <w:sz w:val="22"/>
          <w:szCs w:val="22"/>
          <w:color w:val="auto"/>
        </w:rPr>
        <w:t>”) is made as of January 30, 2026, and effective as of the date the Executive begins employment with the Company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70" w:lineRule="exact"/>
        <w:rPr>
          <w:sz w:val="20"/>
          <w:szCs w:val="20"/>
          <w:color w:val="auto"/>
        </w:rPr>
      </w:pPr>
    </w:p>
    <w:p>
      <w:pPr>
        <w:ind w:right="380" w:firstLine="749"/>
        <w:spacing w:after="0" w:line="283" w:lineRule="auto"/>
        <w:rPr>
          <w:sz w:val="20"/>
          <w:szCs w:val="20"/>
          <w:color w:val="auto"/>
        </w:rPr>
      </w:pPr>
      <w:r>
        <w:rPr>
          <w:rFonts w:ascii="Arial" w:cs="Arial" w:eastAsia="Arial" w:hAnsi="Arial"/>
          <w:sz w:val="21"/>
          <w:szCs w:val="21"/>
          <w:color w:val="auto"/>
        </w:rPr>
        <w:t xml:space="preserve">WHEREAS, the Board of Directors of the Company (the “ </w:t>
      </w:r>
      <w:r>
        <w:rPr>
          <w:rFonts w:ascii="Arial" w:cs="Arial" w:eastAsia="Arial" w:hAnsi="Arial"/>
          <w:sz w:val="21"/>
          <w:szCs w:val="21"/>
          <w:u w:val="single" w:color="auto"/>
          <w:color w:val="auto"/>
        </w:rPr>
        <w:t>Board</w:t>
      </w:r>
      <w:r>
        <w:rPr>
          <w:rFonts w:ascii="Arial" w:cs="Arial" w:eastAsia="Arial" w:hAnsi="Arial"/>
          <w:sz w:val="21"/>
          <w:szCs w:val="21"/>
          <w:color w:val="auto"/>
        </w:rPr>
        <w:t>”) has determined that appropriate steps should be taken to reinforce and encourage the employment and dedication of the Company’s key personnel; and</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Board has identified the Executive as one of the Company’s key personnel.</w:t>
      </w:r>
    </w:p>
    <w:p>
      <w:pPr>
        <w:spacing w:after="0" w:line="206"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NOW, THEREFORE, as an inducement for and in consideration of the Executive commencing employment and remaining in the Company’s employ, the Company agrees that the Executive shall receive the severance benefits set forth in this Agreement in the event the Executive’s employment with the Company is terminated under the circumstances described below.</w:t>
      </w:r>
    </w:p>
    <w:p>
      <w:pPr>
        <w:spacing w:after="0" w:line="176" w:lineRule="exact"/>
        <w:rPr>
          <w:sz w:val="20"/>
          <w:szCs w:val="20"/>
          <w:color w:val="auto"/>
        </w:rPr>
      </w:pPr>
    </w:p>
    <w:p>
      <w:pPr>
        <w:ind w:left="1000" w:hanging="243"/>
        <w:spacing w:after="0"/>
        <w:tabs>
          <w:tab w:leader="none" w:pos="10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Key Definitions</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used herein, the following terms shall have the following respective meanings: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1.1 “</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an event or occurrence set forth in any one or more of subsections (a) through</w:t>
      </w:r>
    </w:p>
    <w:p>
      <w:pPr>
        <w:spacing w:after="0" w:line="22" w:lineRule="exact"/>
        <w:rPr>
          <w:sz w:val="20"/>
          <w:szCs w:val="20"/>
          <w:color w:val="auto"/>
        </w:rPr>
      </w:pPr>
    </w:p>
    <w:p>
      <w:pPr>
        <w:ind w:right="40" w:firstLine="8"/>
        <w:spacing w:after="0" w:line="234" w:lineRule="auto"/>
        <w:tabs>
          <w:tab w:leader="none" w:pos="3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below (including an event or occurrence that constitutes a Change in Control under one of such subsections but is specifically exempted from another such subsection) that is (i) a change in the ownership Company (as defined in Treasury Regulation Section 1.409A-3(i)(5)(v)), (ii) a change in the effective control of the Company (as defined in Treasury Regulation Section 1.409A-3(i)(5)(vi)), or (iii) a change in the ownership of a substantial portion of the assets of the Company (as defined in Treasury Regulation Section 1.409A-3(i)(5)(vii)):</w:t>
      </w:r>
    </w:p>
    <w:p>
      <w:pPr>
        <w:spacing w:after="0" w:line="177" w:lineRule="exact"/>
        <w:rPr>
          <w:rFonts w:ascii="Arial" w:cs="Arial" w:eastAsia="Arial" w:hAnsi="Arial"/>
          <w:sz w:val="22"/>
          <w:szCs w:val="22"/>
          <w:color w:val="auto"/>
        </w:rPr>
      </w:pPr>
    </w:p>
    <w:p>
      <w:pPr>
        <w:ind w:left="760" w:firstLine="745"/>
        <w:spacing w:after="0" w:line="236" w:lineRule="auto"/>
        <w:tabs>
          <w:tab w:leader="none" w:pos="1833"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acquisition by an individual, entity or group (within the meaning of Section 13(d)(3) or 14(d)(2)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(a “</w:t>
      </w:r>
      <w:r>
        <w:rPr>
          <w:rFonts w:ascii="Arial" w:cs="Arial" w:eastAsia="Arial" w:hAnsi="Arial"/>
          <w:sz w:val="22"/>
          <w:szCs w:val="22"/>
          <w:u w:val="single" w:color="auto"/>
          <w:color w:val="auto"/>
        </w:rPr>
        <w:t>Person</w:t>
      </w:r>
      <w:r>
        <w:rPr>
          <w:rFonts w:ascii="Arial" w:cs="Arial" w:eastAsia="Arial" w:hAnsi="Arial"/>
          <w:sz w:val="22"/>
          <w:szCs w:val="22"/>
          <w:color w:val="auto"/>
        </w:rPr>
        <w:t>”) of beneficial ownership of any capital stock of the Company if, after such acquisition, such Person beneficially owns (within the meaning of Rule 13d-3 promulgated under the Exchange Act) 50% or more of either (x) the then outstanding shares of common stock of the Company (the “</w:t>
      </w:r>
      <w:r>
        <w:rPr>
          <w:rFonts w:ascii="Arial" w:cs="Arial" w:eastAsia="Arial" w:hAnsi="Arial"/>
          <w:sz w:val="22"/>
          <w:szCs w:val="22"/>
          <w:u w:val="single" w:color="auto"/>
          <w:color w:val="auto"/>
        </w:rPr>
        <w:t>Outstanding Company Common Stock</w:t>
      </w:r>
      <w:r>
        <w:rPr>
          <w:rFonts w:ascii="Arial" w:cs="Arial" w:eastAsia="Arial" w:hAnsi="Arial"/>
          <w:sz w:val="22"/>
          <w:szCs w:val="22"/>
          <w:color w:val="auto"/>
        </w:rPr>
        <w:t>”) or (y) the combined voting power of the then outstanding securities of the Company entitled to vote generally in the election of directors (the “</w:t>
      </w:r>
      <w:r>
        <w:rPr>
          <w:rFonts w:ascii="Arial" w:cs="Arial" w:eastAsia="Arial" w:hAnsi="Arial"/>
          <w:sz w:val="22"/>
          <w:szCs w:val="22"/>
          <w:u w:val="single" w:color="auto"/>
          <w:color w:val="auto"/>
        </w:rPr>
        <w:t>Outstanding Company Voting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6" w:name="page57"/>
    <w:bookmarkEnd w:id="56"/>
    <w:p>
      <w:pPr>
        <w:ind w:right="40"/>
        <w:spacing w:after="0" w:line="236" w:lineRule="auto"/>
        <w:rPr>
          <w:sz w:val="20"/>
          <w:szCs w:val="20"/>
          <w:color w:val="auto"/>
        </w:rPr>
      </w:pPr>
      <w:r>
        <w:rPr>
          <w:rFonts w:ascii="Arial" w:cs="Arial" w:eastAsia="Arial" w:hAnsi="Arial"/>
          <w:sz w:val="22"/>
          <w:szCs w:val="22"/>
          <w:color w:val="auto"/>
        </w:rPr>
        <w:t>that for purposes of this subsection (a), the following acquisitions shall not constitute a Change in Control: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or (ii) any acquisition by any corporation pursuant to a transaction which complies with clauses (i) and (ii) of subsection (c) of this Section 1.1; or</w:t>
      </w:r>
    </w:p>
    <w:p>
      <w:pPr>
        <w:spacing w:after="0" w:line="176" w:lineRule="exact"/>
        <w:rPr>
          <w:sz w:val="20"/>
          <w:szCs w:val="20"/>
          <w:color w:val="auto"/>
        </w:rPr>
      </w:pPr>
    </w:p>
    <w:p>
      <w:pPr>
        <w:ind w:firstLine="745"/>
        <w:spacing w:after="0" w:line="234" w:lineRule="auto"/>
        <w:tabs>
          <w:tab w:leader="none" w:pos="1073"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such time as the Continuing Directors (as defined below) do not constitute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22"/>
          <w:szCs w:val="22"/>
          <w:color w:val="auto"/>
        </w:rPr>
      </w:pPr>
    </w:p>
    <w:p>
      <w:pPr>
        <w:ind w:right="20" w:firstLine="745"/>
        <w:spacing w:after="0" w:line="232" w:lineRule="auto"/>
        <w:tabs>
          <w:tab w:leader="none" w:pos="106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Arial" w:cs="Arial" w:eastAsia="Arial" w:hAnsi="Arial"/>
          <w:sz w:val="22"/>
          <w:szCs w:val="22"/>
          <w:u w:val="single" w:color="auto"/>
          <w:color w:val="auto"/>
        </w:rPr>
        <w:t>Business Combination</w:t>
      </w:r>
      <w:r>
        <w:rPr>
          <w:rFonts w:ascii="Arial" w:cs="Arial" w:eastAsia="Arial" w:hAnsi="Arial"/>
          <w:sz w:val="22"/>
          <w:szCs w:val="22"/>
          <w:color w:val="auto"/>
        </w:rPr>
        <w:t>”),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acquiring corporation is referred to herein as the “</w:t>
      </w:r>
      <w:r>
        <w:rPr>
          <w:rFonts w:ascii="Arial" w:cs="Arial" w:eastAsia="Arial" w:hAnsi="Arial"/>
          <w:sz w:val="22"/>
          <w:szCs w:val="22"/>
          <w:u w:val="single" w:color="auto"/>
          <w:color w:val="auto"/>
        </w:rPr>
        <w:t>Acquiring Corporation</w:t>
      </w:r>
      <w:r>
        <w:rPr>
          <w:rFonts w:ascii="Arial" w:cs="Arial" w:eastAsia="Arial" w:hAnsi="Arial"/>
          <w:sz w:val="22"/>
          <w:szCs w:val="22"/>
          <w:color w:val="auto"/>
        </w:rPr>
        <w:t>”)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the Company or by the Acquiring Corporation) beneficially owns, directly or indirectly, 50% or more of the then outstanding shares of common stock of the Acquiring Corporation, or of the combined voting power of the then outstanding securities of such corporation entitled to vote generally in the</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36" w:right="359" w:bottom="1440" w:gutter="0" w:footer="0" w:header="0"/>
        </w:sectPr>
      </w:pPr>
    </w:p>
    <w:bookmarkStart w:id="57" w:name="page58"/>
    <w:bookmarkEnd w:id="57"/>
    <w:p>
      <w:pPr>
        <w:ind w:left="760"/>
        <w:spacing w:after="0"/>
        <w:rPr>
          <w:sz w:val="20"/>
          <w:szCs w:val="20"/>
          <w:color w:val="auto"/>
        </w:rPr>
      </w:pPr>
      <w:r>
        <w:rPr>
          <w:rFonts w:ascii="Arial" w:cs="Arial" w:eastAsia="Arial" w:hAnsi="Arial"/>
          <w:sz w:val="21"/>
          <w:szCs w:val="21"/>
          <w:color w:val="auto"/>
        </w:rPr>
        <w:t>election of directors (except to the extent that such ownership existed prior to the Business Combination); or</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(d) the liquidation or dissolution of the Company.</w:t>
      </w:r>
    </w:p>
    <w:p>
      <w:pPr>
        <w:spacing w:after="0" w:line="20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xml:space="preserve"> ” means the first date during the Term (as defined in Section 2) on which a Change in Control occurs. Anything in this Agreement to the contrary notwithstanding, if (a) a Change in Control occurs, (b) the Executive’s employment with the Company is terminated prior to the date on which the Change in Control occurs, and (c) it is reasonably demonstrated by the Executive that 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p>
    <w:p>
      <w:pPr>
        <w:spacing w:after="0" w:line="176" w:lineRule="exact"/>
        <w:rPr>
          <w:sz w:val="20"/>
          <w:szCs w:val="20"/>
          <w:color w:val="auto"/>
        </w:rPr>
      </w:pPr>
    </w:p>
    <w:p>
      <w:pPr>
        <w:ind w:right="20" w:firstLine="749"/>
        <w:spacing w:after="0" w:line="235"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Cause</w:t>
      </w:r>
      <w:r>
        <w:rPr>
          <w:rFonts w:ascii="Arial" w:cs="Arial" w:eastAsia="Arial" w:hAnsi="Arial"/>
          <w:sz w:val="22"/>
          <w:szCs w:val="22"/>
          <w:color w:val="auto"/>
        </w:rPr>
        <w:t xml:space="preserve">” means willful misconduct by the Executive or willful failure by the Executive to perform the Executive’s responsibilities to the Company (including, without limitation, breach by the Executive of any provision of any employment, consulting, advisory, nondisclosure, non-competition or other similar agreement between the Executive and the Company), as determined by the Company, which determination shall be conclusive;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following the Change in Control Date, Cause means (a) willful failure by the Executive, which failure is not cured within 30 days of written notice to the Executive from the Company, to perform the Executive’s material responsibilities to the Company or (b) willful misconduct by the Executive which affects the business reputation of the Company.</w:t>
      </w:r>
    </w:p>
    <w:p>
      <w:pPr>
        <w:spacing w:after="0" w:line="178" w:lineRule="exact"/>
        <w:rPr>
          <w:sz w:val="20"/>
          <w:szCs w:val="20"/>
          <w:color w:val="auto"/>
        </w:rPr>
      </w:pPr>
    </w:p>
    <w:p>
      <w:pPr>
        <w:ind w:right="460" w:firstLine="749"/>
        <w:spacing w:after="0" w:line="259"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effective date of an employment termination, as further described in Section 3.2.</w:t>
      </w:r>
    </w:p>
    <w:p>
      <w:pPr>
        <w:spacing w:after="0" w:line="156" w:lineRule="exact"/>
        <w:rPr>
          <w:sz w:val="20"/>
          <w:szCs w:val="20"/>
          <w:color w:val="auto"/>
        </w:rPr>
      </w:pPr>
    </w:p>
    <w:p>
      <w:pPr>
        <w:ind w:right="180" w:firstLine="749"/>
        <w:spacing w:after="0"/>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76" w:lineRule="exact"/>
        <w:rPr>
          <w:sz w:val="20"/>
          <w:szCs w:val="20"/>
          <w:color w:val="auto"/>
        </w:rPr>
      </w:pPr>
    </w:p>
    <w:p>
      <w:pPr>
        <w:ind w:firstLine="749"/>
        <w:spacing w:after="0" w:line="234"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without the Executive’s written consent, of any of the events or circumstances set forth in clauses (a) through (e) below. Notwithstanding the occurrence of any such event or circumstance, such occurrence shall not be deemed to constitute Good Reason unless: (i) the Executive has given written notice to the Company of the Executive’s intention to terminate the Executive’s employment for Good Reason, describing the grounds for such action, no later than 90 days after the first occurrence of such circumstances, (ii) the Executive has provided the Company with at least 30 days in which to cure the circumstances, and (iii) if the Company is not successful in curing the event or circumstance, the Executive ends the Executive’s employment within 30 days following the end of the cure period after giving not less than 15 days’ advance notice. Moreover, if such event or circumstance has been fully corrected within the cure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22"/>
          <w:szCs w:val="22"/>
          <w:color w:val="auto"/>
        </w:rPr>
        <w:t>period, such event or circumstance may not be used by the Executive at any time thereafter as basis for establishing Good Reason.</w:t>
      </w:r>
    </w:p>
    <w:p>
      <w:pPr>
        <w:spacing w:after="0" w:line="156" w:lineRule="exact"/>
        <w:rPr>
          <w:sz w:val="20"/>
          <w:szCs w:val="20"/>
          <w:color w:val="auto"/>
        </w:rPr>
      </w:pPr>
    </w:p>
    <w:p>
      <w:pPr>
        <w:ind w:left="760" w:firstLine="745"/>
        <w:spacing w:after="0" w:line="248" w:lineRule="auto"/>
        <w:tabs>
          <w:tab w:leader="none" w:pos="1833" w:val="left"/>
        </w:tabs>
        <w:numPr>
          <w:ilvl w:val="1"/>
          <w:numId w:val="47"/>
        </w:numPr>
        <w:rPr>
          <w:rFonts w:ascii="Arial" w:cs="Arial" w:eastAsia="Arial" w:hAnsi="Arial"/>
          <w:sz w:val="21"/>
          <w:szCs w:val="21"/>
          <w:color w:val="auto"/>
        </w:rPr>
      </w:pPr>
      <w:r>
        <w:rPr>
          <w:rFonts w:ascii="Arial" w:cs="Arial" w:eastAsia="Arial" w:hAnsi="Arial"/>
          <w:sz w:val="21"/>
          <w:szCs w:val="21"/>
          <w:color w:val="auto"/>
        </w:rPr>
        <w:t>a material adverse change by the Company in the Executive’s duties, authority or responsibilities in effect immediately prior to the earliest to occur of (i) the Change in Control Date, (ii) the date of the execution by the Company of the initial written agreement or instrument providing for the Change in Control or</w:t>
      </w:r>
    </w:p>
    <w:p>
      <w:pPr>
        <w:ind w:left="760" w:right="120" w:hanging="3"/>
        <w:spacing w:after="0" w:line="233" w:lineRule="auto"/>
        <w:tabs>
          <w:tab w:leader="none" w:pos="110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date of the adoption by the Board of a resolution providing for the Change in Control (with the earliest to occur of such dates referred to herein as the “</w:t>
      </w:r>
      <w:r>
        <w:rPr>
          <w:rFonts w:ascii="Arial" w:cs="Arial" w:eastAsia="Arial" w:hAnsi="Arial"/>
          <w:sz w:val="22"/>
          <w:szCs w:val="22"/>
          <w:u w:val="single" w:color="auto"/>
          <w:color w:val="auto"/>
        </w:rPr>
        <w:t>Measurement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“material adverse change” following a Change in Control shall not include any diminution in authority, duties or responsibilities that is solely attributable to the change in the Company’s ownership structure but does not otherwise change the Executive’s authority, duties or responsibilities (except in a positive manner) otherwise with respect to the Company’s business;</w:t>
      </w:r>
    </w:p>
    <w:p>
      <w:pPr>
        <w:spacing w:after="0" w:line="180" w:lineRule="exact"/>
        <w:rPr>
          <w:rFonts w:ascii="Arial" w:cs="Arial" w:eastAsia="Arial" w:hAnsi="Arial"/>
          <w:sz w:val="22"/>
          <w:szCs w:val="22"/>
          <w:color w:val="auto"/>
        </w:rPr>
      </w:pPr>
    </w:p>
    <w:p>
      <w:pPr>
        <w:ind w:left="760" w:right="180" w:firstLine="745"/>
        <w:spacing w:after="0" w:line="259" w:lineRule="auto"/>
        <w:tabs>
          <w:tab w:leader="none" w:pos="1833"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material reduction in the Executive’s base compensation as in effect on the Measurement Date or as the same was or may be increased thereafter from time to time;</w:t>
      </w:r>
    </w:p>
    <w:p>
      <w:pPr>
        <w:spacing w:after="0" w:line="156" w:lineRule="exact"/>
        <w:rPr>
          <w:rFonts w:ascii="Arial" w:cs="Arial" w:eastAsia="Arial" w:hAnsi="Arial"/>
          <w:sz w:val="22"/>
          <w:szCs w:val="22"/>
          <w:color w:val="auto"/>
        </w:rPr>
      </w:pPr>
    </w:p>
    <w:p>
      <w:pPr>
        <w:ind w:left="760" w:right="40" w:firstLine="745"/>
        <w:spacing w:after="0" w:line="238" w:lineRule="auto"/>
        <w:tabs>
          <w:tab w:leader="none" w:pos="1821"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material change by the Company in the location at which the Executive performs the Executive’s principal duties for the Company to a new location that is both (i) outside a radius of 50 miles from the Executive’s principal residence immediately prior to the Measurement Date and (ii) more than 50 miles from the location at which the Executive performed the Executive’s principal duties for the Company immediately prior to the Measurement Date;</w:t>
      </w:r>
    </w:p>
    <w:p>
      <w:pPr>
        <w:spacing w:after="0" w:line="176" w:lineRule="exact"/>
        <w:rPr>
          <w:rFonts w:ascii="Arial" w:cs="Arial" w:eastAsia="Arial" w:hAnsi="Arial"/>
          <w:sz w:val="22"/>
          <w:szCs w:val="22"/>
          <w:color w:val="auto"/>
        </w:rPr>
      </w:pPr>
    </w:p>
    <w:p>
      <w:pPr>
        <w:ind w:left="760" w:right="780" w:firstLine="745"/>
        <w:spacing w:after="0" w:line="259" w:lineRule="auto"/>
        <w:tabs>
          <w:tab w:leader="none" w:pos="1833"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failure of the Company to obtain the agreement from any successor to the Company to assume and agree to perform this Agreement, as required by Section 6.1; or</w:t>
      </w:r>
    </w:p>
    <w:p>
      <w:pPr>
        <w:spacing w:after="0" w:line="156" w:lineRule="exact"/>
        <w:rPr>
          <w:rFonts w:ascii="Arial" w:cs="Arial" w:eastAsia="Arial" w:hAnsi="Arial"/>
          <w:sz w:val="22"/>
          <w:szCs w:val="22"/>
          <w:color w:val="auto"/>
        </w:rPr>
      </w:pPr>
    </w:p>
    <w:p>
      <w:pPr>
        <w:ind w:left="1820" w:hanging="315"/>
        <w:spacing w:after="0"/>
        <w:tabs>
          <w:tab w:leader="none" w:pos="18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material breach by the Company of this Agreement or any employment agreement with the</w:t>
      </w:r>
    </w:p>
    <w:p>
      <w:pPr>
        <w:spacing w:after="0" w:line="1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Executive.</w:t>
      </w:r>
    </w:p>
    <w:p>
      <w:pPr>
        <w:spacing w:after="0" w:line="186" w:lineRule="exact"/>
        <w:rPr>
          <w:sz w:val="20"/>
          <w:szCs w:val="20"/>
          <w:color w:val="auto"/>
        </w:rPr>
      </w:pPr>
    </w:p>
    <w:p>
      <w:pPr>
        <w:jc w:val="both"/>
        <w:ind w:left="760" w:hanging="3"/>
        <w:spacing w:after="0" w:line="233" w:lineRule="auto"/>
        <w:tabs>
          <w:tab w:leader="none" w:pos="101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and all rights and obligations of the parties hereunder, shall take effect upon the Effective Date and shall expire upon the first to occur of (a) if neither a termination of the Executive’s employment with the Company described in Section 4.1(a) below nor a Change in Control has occurred during the Term (as defined below), the expiration of the Term, (b) if a termination of the Executive’s employment with the Company described in Section 4.1(a) below occurs during the Term or within twenty-four (24) months following a Change in Control, the fulfillment by the Company of all of its obligations under Sections 4 and 5.2 and 5.3 or (c) if a Change in Control occurs prior to expiration of the Term (as defined below), the later of (i) the date twenty-four (24) months after the Change in Control Date and (ii) if the Executive’s employment with the Company terminates within twenty-four (24) months following the Change in Control Date, the fulfillment by the Company of all of its obligations under Sections 4 and 5.2 and 5.3.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shall mean the period commencing as of the Effective Date and continuing in effect through December 31, 2026;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59" w:name="page60"/>
    <w:bookmarkEnd w:id="59"/>
    <w:p>
      <w:pPr>
        <w:ind w:left="760"/>
        <w:spacing w:after="0" w:line="259" w:lineRule="auto"/>
        <w:rPr>
          <w:sz w:val="20"/>
          <w:szCs w:val="20"/>
          <w:color w:val="auto"/>
        </w:rPr>
      </w:pPr>
      <w:r>
        <w:rPr>
          <w:rFonts w:ascii="Arial" w:cs="Arial" w:eastAsia="Arial" w:hAnsi="Arial"/>
          <w:sz w:val="22"/>
          <w:szCs w:val="22"/>
          <w:color w:val="auto"/>
        </w:rPr>
        <w:t>commencing on January 1, 2027 and each January 1 thereafter, the Term shall be automatically extended for one additional year.</w:t>
      </w:r>
    </w:p>
    <w:p>
      <w:pPr>
        <w:spacing w:after="0" w:line="156" w:lineRule="exact"/>
        <w:rPr>
          <w:sz w:val="20"/>
          <w:szCs w:val="20"/>
          <w:color w:val="auto"/>
        </w:rPr>
      </w:pPr>
    </w:p>
    <w:p>
      <w:pPr>
        <w:ind w:left="1000" w:hanging="243"/>
        <w:spacing w:after="0"/>
        <w:tabs>
          <w:tab w:leader="none" w:pos="10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Employment Status; Termination of Employment</w:t>
      </w:r>
      <w:r>
        <w:rPr>
          <w:rFonts w:ascii="Arial" w:cs="Arial" w:eastAsia="Arial" w:hAnsi="Arial"/>
          <w:sz w:val="22"/>
          <w:szCs w:val="22"/>
          <w:color w:val="auto"/>
        </w:rPr>
        <w:t>.</w:t>
      </w:r>
    </w:p>
    <w:p>
      <w:pPr>
        <w:spacing w:after="0" w:line="206" w:lineRule="exact"/>
        <w:rPr>
          <w:sz w:val="20"/>
          <w:szCs w:val="20"/>
          <w:color w:val="auto"/>
        </w:rPr>
      </w:pPr>
    </w:p>
    <w:p>
      <w:pPr>
        <w:ind w:right="280" w:firstLine="749"/>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The Executive acknowledges that this Agreement does not constitute a contract of employment or impose on the Company any obligation to retain the Executive as an employee and that this Agreement does not prevent the Executive from terminating employment at any time. If the Executive’s employment with the Company terminates for any reason and subsequently a Change in Control shall occur, the Executive shall not be entitled to any benefits hereunder except as otherwise provided pursuant to Section 1.2 and Section 4.1.</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ind w:left="760" w:firstLine="745"/>
        <w:spacing w:after="0" w:line="232" w:lineRule="auto"/>
        <w:tabs>
          <w:tab w:leader="none" w:pos="1833"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Change in Control Date occurs during the Term, any termination of the Executive’s employment by the Company or by the Executive within twenty-four (24) months following the Change in Control Date (other than due to the death of the Executive) shall be communicated by a written notice to the other party hereto (the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given in accordance with Section 7. Following the Change in Control Date, any Notice of Termination shall: (i) indicate the specific termination provision (if any) of this Agreement relied upon by the party giving such notice, (ii) to the extent applicable, set forth in reasonable detail the facts and circumstances claimed to provide a basis for termination of the Executive’s employment under the provision so indicated and (iii) specify the Date of Termination. Following the Change in Control Date, the Date of Termination shall be the close of business on the date specified in the Notice of Termination (which date may not be, in the case of notice by the Company, less than 15 days or more than 120 days after the date of delivery of such Notice of Termination or, in the case of a notice by the Executive (other than a termination for Good Reason), may not be less than 90 days or more than 120 days after the date of delivery of such Notice of Termination), in the case of a termination other than one due to the Executive’s death, or the date of the Executive’s death, as the case may be. In the event the Company fails to satisfy the requirements of Section 3.2(a) regarding a Notice of Termination, following the Change in Control Date, the purported termination of the Executive’s employment pursuant to such Notice of Termination shall not be effective for purposes of this Agreement.</w:t>
      </w:r>
    </w:p>
    <w:p>
      <w:pPr>
        <w:spacing w:after="0" w:line="189" w:lineRule="exact"/>
        <w:rPr>
          <w:rFonts w:ascii="Arial" w:cs="Arial" w:eastAsia="Arial" w:hAnsi="Arial"/>
          <w:sz w:val="22"/>
          <w:szCs w:val="22"/>
          <w:color w:val="auto"/>
        </w:rPr>
      </w:pPr>
    </w:p>
    <w:p>
      <w:pPr>
        <w:ind w:left="760" w:right="40" w:firstLine="745"/>
        <w:spacing w:after="0" w:line="236" w:lineRule="auto"/>
        <w:tabs>
          <w:tab w:leader="none" w:pos="183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 provided, however, that any fact or circumstance which contributes to a showing of Good Reason must be asserted within 90 days of its first occurring and the Company shall have at least 30 days in which to cure such fact or circumstance consistent with the terms of Section 1.6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60" w:name="page61"/>
    <w:bookmarkEnd w:id="60"/>
    <w:p>
      <w:pPr>
        <w:ind w:left="760" w:firstLine="745"/>
        <w:spacing w:after="0" w:line="247" w:lineRule="auto"/>
        <w:tabs>
          <w:tab w:leader="none" w:pos="1821" w:val="left"/>
        </w:tabs>
        <w:numPr>
          <w:ilvl w:val="1"/>
          <w:numId w:val="52"/>
        </w:numPr>
        <w:rPr>
          <w:rFonts w:ascii="Arial" w:cs="Arial" w:eastAsia="Arial" w:hAnsi="Arial"/>
          <w:sz w:val="21"/>
          <w:szCs w:val="21"/>
          <w:color w:val="auto"/>
        </w:rPr>
      </w:pPr>
      <w:r>
        <w:rPr>
          <w:rFonts w:ascii="Arial" w:cs="Arial" w:eastAsia="Arial" w:hAnsi="Arial"/>
          <w:sz w:val="21"/>
          <w:szCs w:val="21"/>
          <w:color w:val="auto"/>
        </w:rPr>
        <w:t>Following the Change in Control Date, any Notice of Termination for Cause given by the Company must be given within 90 days of the occurrence of the event(s) or circumstance(s) which constitute(s) Cause. Prior to any Notice of Termination for Cause being given (and prior to any termination for Cause being effective) after the Change in Control Date, the Executive shall be entitled to a hearing before the Board at which the Executive may, at the Executive’s election, be represented by counsel and at which the Executive shall have a reasonable opportunity to be heard. Such hearing shall be held on not less than 15 days prior written notice to the Executive stating the Board’s intention to terminate the Executive for Cause and stating in detail the particular event(s) or circumstance(s) which the Board believes constitutes Cause for termination.</w:t>
      </w:r>
    </w:p>
    <w:p>
      <w:pPr>
        <w:spacing w:after="0" w:line="171" w:lineRule="exact"/>
        <w:rPr>
          <w:rFonts w:ascii="Arial" w:cs="Arial" w:eastAsia="Arial" w:hAnsi="Arial"/>
          <w:sz w:val="21"/>
          <w:szCs w:val="21"/>
          <w:color w:val="auto"/>
        </w:rPr>
      </w:pPr>
    </w:p>
    <w:p>
      <w:pPr>
        <w:ind w:left="760" w:right="200" w:firstLine="745"/>
        <w:spacing w:after="0" w:line="259" w:lineRule="auto"/>
        <w:tabs>
          <w:tab w:leader="none" w:pos="1833"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Notice of Termination for Good Reason given by the Executive, whether prior to or following the Change in Control Date, must be given consistent with Section 1.6 above.</w:t>
      </w:r>
    </w:p>
    <w:p>
      <w:pPr>
        <w:spacing w:after="0" w:line="156" w:lineRule="exact"/>
        <w:rPr>
          <w:rFonts w:ascii="Arial" w:cs="Arial" w:eastAsia="Arial" w:hAnsi="Arial"/>
          <w:sz w:val="22"/>
          <w:szCs w:val="22"/>
          <w:color w:val="auto"/>
        </w:rPr>
      </w:pPr>
    </w:p>
    <w:p>
      <w:pPr>
        <w:ind w:left="1000" w:hanging="243"/>
        <w:spacing w:after="0"/>
        <w:tabs>
          <w:tab w:leader="none" w:pos="10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Benefits to Executive upon Termination</w:t>
      </w:r>
      <w:r>
        <w:rPr>
          <w:rFonts w:ascii="Arial" w:cs="Arial" w:eastAsia="Arial" w:hAnsi="Arial"/>
          <w:sz w:val="22"/>
          <w:szCs w:val="22"/>
          <w:color w:val="auto"/>
        </w:rPr>
        <w:t>.</w:t>
      </w:r>
    </w:p>
    <w:p>
      <w:pPr>
        <w:spacing w:after="0" w:line="20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Termination of Employment without Cause prior to Change in Control</w:t>
      </w:r>
      <w:r>
        <w:rPr>
          <w:rFonts w:ascii="Arial" w:cs="Arial" w:eastAsia="Arial" w:hAnsi="Arial"/>
          <w:sz w:val="22"/>
          <w:szCs w:val="22"/>
          <w:color w:val="auto"/>
        </w:rPr>
        <w:t>. If, during the Term and prior to the occurrence of a Change in Control, the Executive’s employment with the Company is terminated by the Company (other than for Cause, Disability or death), then:</w:t>
      </w:r>
    </w:p>
    <w:p>
      <w:pPr>
        <w:spacing w:after="0" w:line="170" w:lineRule="exact"/>
        <w:rPr>
          <w:sz w:val="20"/>
          <w:szCs w:val="20"/>
          <w:color w:val="auto"/>
        </w:rPr>
      </w:pPr>
    </w:p>
    <w:p>
      <w:pPr>
        <w:ind w:left="760" w:firstLine="745"/>
        <w:spacing w:after="0" w:line="234" w:lineRule="auto"/>
        <w:tabs>
          <w:tab w:leader="none" w:pos="1833" w:val="left"/>
        </w:tabs>
        <w:numPr>
          <w:ilvl w:val="0"/>
          <w:numId w:val="54"/>
        </w:numPr>
        <w:rPr>
          <w:rFonts w:ascii="Arial" w:cs="Arial" w:eastAsia="Arial" w:hAnsi="Arial"/>
          <w:sz w:val="22"/>
          <w:szCs w:val="22"/>
          <w:color w:val="auto"/>
        </w:rPr>
      </w:pPr>
      <w:r>
        <w:rPr>
          <w:rFonts w:ascii="Arial" w:cs="Arial" w:eastAsia="Arial" w:hAnsi="Arial"/>
          <w:sz w:val="22"/>
          <w:szCs w:val="22"/>
          <w:color w:val="auto"/>
        </w:rPr>
        <w:t>on the Date of Termination, the Company shall pay to the Executive, in a lump sum in cash, the sum of (i) the Executive’s base salary earned but unpaid as of the Date of Termination, (ii) the amount of any compensation previously deferred by the Executive (together with any accrued interest or earnings thereon), provided that such payment of deferred compensation is consistent with any elections the Executive may have made with respect thereto, (iii) any accrued but unpaid vacation pay, in each case to the extent not previously paid (the sum of the amounts described in clauses (i), (ii) and (iii) shall be hereinafter referred to as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 and, at the same time that annual bonuses are paid to active executives, the Company shall pay to the Executive, in a lump sum in cash, any annual bonus relating to the fiscal year prior to the year in which such termination occurs, to the extent earned based on performance and unpaid (the “</w:t>
      </w:r>
      <w:r>
        <w:rPr>
          <w:rFonts w:ascii="Arial" w:cs="Arial" w:eastAsia="Arial" w:hAnsi="Arial"/>
          <w:sz w:val="22"/>
          <w:szCs w:val="22"/>
          <w:u w:val="single" w:color="auto"/>
          <w:color w:val="auto"/>
        </w:rPr>
        <w:t>Prior Year’s Bonus</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760" w:right="460" w:firstLine="745"/>
        <w:spacing w:after="0" w:line="259" w:lineRule="auto"/>
        <w:tabs>
          <w:tab w:leader="none" w:pos="1833" w:val="left"/>
        </w:tabs>
        <w:numPr>
          <w:ilvl w:val="0"/>
          <w:numId w:val="54"/>
        </w:numPr>
        <w:rPr>
          <w:rFonts w:ascii="Arial" w:cs="Arial" w:eastAsia="Arial" w:hAnsi="Arial"/>
          <w:sz w:val="22"/>
          <w:szCs w:val="22"/>
          <w:color w:val="auto"/>
        </w:rPr>
      </w:pPr>
      <w:r>
        <w:rPr>
          <w:rFonts w:ascii="Arial" w:cs="Arial" w:eastAsia="Arial" w:hAnsi="Arial"/>
          <w:sz w:val="22"/>
          <w:szCs w:val="22"/>
          <w:color w:val="auto"/>
        </w:rPr>
        <w:t>provided that Executive executes and does not revoke the release consistent with Section 4.7 below, the Company shall;</w:t>
      </w:r>
    </w:p>
    <w:p>
      <w:pPr>
        <w:spacing w:after="0" w:line="156" w:lineRule="exact"/>
        <w:rPr>
          <w:rFonts w:ascii="Arial" w:cs="Arial" w:eastAsia="Arial" w:hAnsi="Arial"/>
          <w:sz w:val="22"/>
          <w:szCs w:val="22"/>
          <w:color w:val="auto"/>
        </w:rPr>
      </w:pPr>
    </w:p>
    <w:p>
      <w:pPr>
        <w:ind w:left="1500" w:right="500" w:firstLine="754"/>
        <w:spacing w:after="0" w:line="259" w:lineRule="auto"/>
        <w:tabs>
          <w:tab w:leader="none" w:pos="2501"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such termination of employment occurs before the date that is the twelve (12)-month anniversary of the Effective Date:</w:t>
      </w:r>
    </w:p>
    <w:p>
      <w:pPr>
        <w:spacing w:after="0" w:line="156" w:lineRule="exact"/>
        <w:rPr>
          <w:rFonts w:ascii="Arial" w:cs="Arial" w:eastAsia="Arial" w:hAnsi="Arial"/>
          <w:sz w:val="22"/>
          <w:szCs w:val="22"/>
          <w:color w:val="auto"/>
        </w:rPr>
      </w:pPr>
    </w:p>
    <w:p>
      <w:pPr>
        <w:ind w:left="2260" w:right="140" w:firstLine="743"/>
        <w:spacing w:after="0" w:line="238" w:lineRule="auto"/>
        <w:tabs>
          <w:tab w:leader="none" w:pos="3357" w:val="left"/>
        </w:tabs>
        <w:numPr>
          <w:ilvl w:val="2"/>
          <w:numId w:val="54"/>
        </w:numPr>
        <w:rPr>
          <w:rFonts w:ascii="Arial" w:cs="Arial" w:eastAsia="Arial" w:hAnsi="Arial"/>
          <w:sz w:val="22"/>
          <w:szCs w:val="22"/>
          <w:color w:val="auto"/>
        </w:rPr>
      </w:pPr>
      <w:r>
        <w:rPr>
          <w:rFonts w:ascii="Arial" w:cs="Arial" w:eastAsia="Arial" w:hAnsi="Arial"/>
          <w:sz w:val="22"/>
          <w:szCs w:val="22"/>
          <w:color w:val="auto"/>
        </w:rPr>
        <w:t>pay to the Executive, in nine (9) monthly installments beginning in the first payroll period following the Release Effective Date (as defined in Section 4.7), an amount equal to nine (9) months of the Executive’s base salary as in effect on the Date of Termination, reduced by any amounts payable to the Executive under any non-competition or similar agreement with respect to the same period;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61" w:name="page62"/>
    <w:bookmarkEnd w:id="61"/>
    <w:p>
      <w:pPr>
        <w:ind w:left="1140" w:right="120" w:firstLine="743"/>
        <w:spacing w:after="0" w:line="238" w:lineRule="auto"/>
        <w:tabs>
          <w:tab w:leader="none" w:pos="2237" w:val="left"/>
        </w:tabs>
        <w:numPr>
          <w:ilvl w:val="1"/>
          <w:numId w:val="55"/>
        </w:numPr>
        <w:rPr>
          <w:rFonts w:ascii="Arial" w:cs="Arial" w:eastAsia="Arial" w:hAnsi="Arial"/>
          <w:sz w:val="22"/>
          <w:szCs w:val="22"/>
          <w:color w:val="auto"/>
        </w:rPr>
      </w:pPr>
      <w:r>
        <w:rPr>
          <w:rFonts w:ascii="Arial" w:cs="Arial" w:eastAsia="Arial" w:hAnsi="Arial"/>
          <w:sz w:val="22"/>
          <w:szCs w:val="22"/>
          <w:color w:val="auto"/>
        </w:rPr>
        <w:t>pay to the Executive, in a lump sum at the same time bonuses are otherwise paid to active executives of the Company for the year in which such termination of employment occurs, an amount equal to the product obtained by multiplying (1) 0.75 by (2) the actual bonus the Executive would have received for such year had the Executive not terminated employment, calculated based on actual performance; and</w:t>
      </w:r>
    </w:p>
    <w:p>
      <w:pPr>
        <w:spacing w:after="0" w:line="176" w:lineRule="exact"/>
        <w:rPr>
          <w:rFonts w:ascii="Arial" w:cs="Arial" w:eastAsia="Arial" w:hAnsi="Arial"/>
          <w:sz w:val="22"/>
          <w:szCs w:val="22"/>
          <w:color w:val="auto"/>
        </w:rPr>
      </w:pPr>
    </w:p>
    <w:p>
      <w:pPr>
        <w:ind w:left="1140" w:firstLine="743"/>
        <w:spacing w:after="0" w:line="244" w:lineRule="auto"/>
        <w:tabs>
          <w:tab w:leader="none" w:pos="2249" w:val="left"/>
        </w:tabs>
        <w:numPr>
          <w:ilvl w:val="1"/>
          <w:numId w:val="55"/>
        </w:numPr>
        <w:rPr>
          <w:rFonts w:ascii="Arial" w:cs="Arial" w:eastAsia="Arial" w:hAnsi="Arial"/>
          <w:sz w:val="21"/>
          <w:szCs w:val="21"/>
          <w:color w:val="auto"/>
        </w:rPr>
      </w:pPr>
      <w:r>
        <w:rPr>
          <w:rFonts w:ascii="Arial" w:cs="Arial" w:eastAsia="Arial" w:hAnsi="Arial"/>
          <w:sz w:val="21"/>
          <w:szCs w:val="21"/>
          <w:color w:val="auto"/>
        </w:rPr>
        <w:t>subject to the Executive’s timely election to continue participation and that of the Executive’s eligible dependents in the Company’s group medical, dental and/or vision plans under the federal law known as “COBRA” or similar applicable state law (together, “</w:t>
      </w:r>
      <w:r>
        <w:rPr>
          <w:rFonts w:ascii="Arial" w:cs="Arial" w:eastAsia="Arial" w:hAnsi="Arial"/>
          <w:sz w:val="21"/>
          <w:szCs w:val="21"/>
          <w:u w:val="single" w:color="auto"/>
          <w:color w:val="auto"/>
        </w:rPr>
        <w:t>COBRA</w:t>
      </w:r>
      <w:r>
        <w:rPr>
          <w:rFonts w:ascii="Arial" w:cs="Arial" w:eastAsia="Arial" w:hAnsi="Arial"/>
          <w:sz w:val="21"/>
          <w:szCs w:val="21"/>
          <w:color w:val="auto"/>
        </w:rPr>
        <w:t>”), the Company will pay for the monthly cost of such COBRA continuation coverage for the Company’s group medical, dental and/or vision insurance premiums (as applicable), with such continuation on the same basis as in effect for active employees with the same coverage until the earliest of (1) nine (9) months following the Release Effective Date, (2) the date the Executive and the Executive’s eligible dependents are no longer entitled to coverage under COBRA or the Company’s plans, or (3)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1"/>
          <w:szCs w:val="21"/>
          <w:color w:val="auto"/>
        </w:rPr>
        <w:t>y. Notwithstan</w:t>
      </w:r>
      <w:r>
        <w:rPr>
          <w:rFonts w:ascii="Arial" w:cs="Arial" w:eastAsia="Arial" w:hAnsi="Arial"/>
          <w:sz w:val="21"/>
          <w:szCs w:val="21"/>
          <w:color w:val="auto"/>
        </w:rPr>
        <w:t>ding the foregoing, in the event that the Company’s payment of the premium payments, as described in this Section, would subject the Company to any tax or penalty under Section 105(h)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the Patient Protection and Affordable Care Act, as amended, any regulations or guidance issued thereunder, or any other applicable law, in each case, as determined by the Company, then the Company will not be required to provide them.</w:t>
      </w:r>
    </w:p>
    <w:p>
      <w:pPr>
        <w:spacing w:after="0" w:line="172" w:lineRule="exact"/>
        <w:rPr>
          <w:rFonts w:ascii="Arial" w:cs="Arial" w:eastAsia="Arial" w:hAnsi="Arial"/>
          <w:sz w:val="21"/>
          <w:szCs w:val="21"/>
          <w:color w:val="auto"/>
        </w:rPr>
      </w:pPr>
    </w:p>
    <w:p>
      <w:pPr>
        <w:ind w:left="380" w:right="640" w:firstLine="754"/>
        <w:spacing w:after="0" w:line="259" w:lineRule="auto"/>
        <w:tabs>
          <w:tab w:leader="none" w:pos="1428"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such termination of employment occurs after the date that is the twelve (12)-month anniversary of the Effective Date:</w:t>
      </w:r>
    </w:p>
    <w:p>
      <w:pPr>
        <w:spacing w:after="0" w:line="156" w:lineRule="exact"/>
        <w:rPr>
          <w:rFonts w:ascii="Arial" w:cs="Arial" w:eastAsia="Arial" w:hAnsi="Arial"/>
          <w:sz w:val="22"/>
          <w:szCs w:val="22"/>
          <w:color w:val="auto"/>
        </w:rPr>
      </w:pPr>
    </w:p>
    <w:p>
      <w:pPr>
        <w:ind w:left="1140" w:right="160" w:firstLine="743"/>
        <w:spacing w:after="0" w:line="255" w:lineRule="auto"/>
        <w:tabs>
          <w:tab w:leader="none" w:pos="2237" w:val="left"/>
        </w:tabs>
        <w:numPr>
          <w:ilvl w:val="1"/>
          <w:numId w:val="56"/>
        </w:numPr>
        <w:rPr>
          <w:rFonts w:ascii="Arial" w:cs="Arial" w:eastAsia="Arial" w:hAnsi="Arial"/>
          <w:sz w:val="21"/>
          <w:szCs w:val="21"/>
          <w:color w:val="auto"/>
        </w:rPr>
      </w:pPr>
      <w:r>
        <w:rPr>
          <w:rFonts w:ascii="Arial" w:cs="Arial" w:eastAsia="Arial" w:hAnsi="Arial"/>
          <w:sz w:val="21"/>
          <w:szCs w:val="21"/>
          <w:color w:val="auto"/>
        </w:rPr>
        <w:t>pay to the Executive, in twelve (12) monthly installments beginning in the first payroll period following the Release Effective Date, an amount equal to the Executive’s base salary as in effect on the Date of Termination, reduced by any amounts payable to the Executive under any non-competition or similar agreement with respect to the same period;</w:t>
      </w:r>
    </w:p>
    <w:p>
      <w:pPr>
        <w:spacing w:after="0" w:line="161" w:lineRule="exact"/>
        <w:rPr>
          <w:rFonts w:ascii="Arial" w:cs="Arial" w:eastAsia="Arial" w:hAnsi="Arial"/>
          <w:sz w:val="21"/>
          <w:szCs w:val="21"/>
          <w:color w:val="auto"/>
        </w:rPr>
      </w:pPr>
    </w:p>
    <w:p>
      <w:pPr>
        <w:ind w:left="1140" w:right="20" w:firstLine="743"/>
        <w:spacing w:after="0"/>
        <w:tabs>
          <w:tab w:leader="none" w:pos="2237" w:val="left"/>
        </w:tabs>
        <w:numPr>
          <w:ilvl w:val="1"/>
          <w:numId w:val="56"/>
        </w:numPr>
        <w:rPr>
          <w:rFonts w:ascii="Arial" w:cs="Arial" w:eastAsia="Arial" w:hAnsi="Arial"/>
          <w:sz w:val="22"/>
          <w:szCs w:val="22"/>
          <w:color w:val="auto"/>
        </w:rPr>
      </w:pPr>
      <w:r>
        <w:rPr>
          <w:rFonts w:ascii="Arial" w:cs="Arial" w:eastAsia="Arial" w:hAnsi="Arial"/>
          <w:sz w:val="22"/>
          <w:szCs w:val="22"/>
          <w:color w:val="auto"/>
        </w:rPr>
        <w:t>pay to the Executive, in a lump sum at the same time bonuses are otherwise paid to active executives of the Company for the year in which such termination of employment occurs, an amount equal to the Executive’s highest annual bonus during the three-year period prior to the Date of Termination; and</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713740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36" w:right="339" w:bottom="1440" w:gutter="0" w:footer="0" w:header="0"/>
        </w:sectPr>
      </w:pPr>
    </w:p>
    <w:bookmarkStart w:id="62" w:name="page63"/>
    <w:bookmarkEnd w:id="62"/>
    <w:p>
      <w:pPr>
        <w:ind w:left="2260" w:firstLine="743"/>
        <w:spacing w:after="0" w:line="232" w:lineRule="auto"/>
        <w:tabs>
          <w:tab w:leader="none" w:pos="3369"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subject to the Executive’s timely election to continue participation and that of the Executive’s eligible dependents in the Company’s group medical, dental and/or vision plans under COBRA, the Company will pay for the monthly cost of such COBRA continuation coverage for the Company’s group medical, dental and/or vision insurance premiums (as applicable), with such continuation on the same basis as in effect for active employees with the same coverage until the earliest of (1) twelve (12) months following the Release Effective Date, (2) the date the Executive and the Executive’s eligible dependents are no longer entitled to coverage under COBRA or the Company’s plans, or (3)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2"/>
          <w:szCs w:val="22"/>
          <w:color w:val="auto"/>
        </w:rPr>
        <w:t>y. Notwithstan</w:t>
      </w:r>
      <w:r>
        <w:rPr>
          <w:rFonts w:ascii="Arial" w:cs="Arial" w:eastAsia="Arial" w:hAnsi="Arial"/>
          <w:sz w:val="22"/>
          <w:szCs w:val="22"/>
          <w:color w:val="auto"/>
        </w:rPr>
        <w:t xml:space="preserve">ding the foregoing, in the event that the Company’s payment of the premium payments, as described in this Section, would subject the Company to any tax or penalty under Section 105(h) of the </w:t>
      </w:r>
      <w:r>
        <w:rPr>
          <w:rFonts w:ascii="Arial" w:cs="Arial" w:eastAsia="Arial" w:hAnsi="Arial"/>
          <w:sz w:val="22"/>
          <w:szCs w:val="22"/>
          <w:u w:val="single" w:color="auto"/>
          <w:color w:val="auto"/>
        </w:rPr>
        <w:t>Code</w:t>
      </w:r>
      <w:r>
        <w:rPr>
          <w:rFonts w:ascii="Arial" w:cs="Arial" w:eastAsia="Arial" w:hAnsi="Arial"/>
          <w:sz w:val="22"/>
          <w:szCs w:val="22"/>
          <w:color w:val="auto"/>
        </w:rPr>
        <w:t>, the Patient Protection and Affordable Care Act, as amended, any regulations or guidance issued thereunder, or any other applicable law, in each case, as determined by the Company, then the Company will not be required to provide them.</w:t>
      </w:r>
    </w:p>
    <w:p>
      <w:pPr>
        <w:spacing w:after="0" w:line="191" w:lineRule="exact"/>
        <w:rPr>
          <w:sz w:val="20"/>
          <w:szCs w:val="20"/>
          <w:color w:val="auto"/>
        </w:rPr>
      </w:pPr>
    </w:p>
    <w:p>
      <w:pPr>
        <w:ind w:right="180" w:firstLine="749"/>
        <w:spacing w:after="0" w:line="26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Termination of Employment without Cause or for Good Reason following Change in Control</w:t>
      </w:r>
      <w:r>
        <w:rPr>
          <w:rFonts w:ascii="Arial" w:cs="Arial" w:eastAsia="Arial" w:hAnsi="Arial"/>
          <w:sz w:val="21"/>
          <w:szCs w:val="21"/>
          <w:color w:val="auto"/>
        </w:rPr>
        <w:t>. If the Executive’s employment with the Company is terminated by the Company (other than for Cause, Disability or death) or by the Executive for Good Reason within twenty-four (24) months following the Change in Control Date, then:</w:t>
      </w:r>
    </w:p>
    <w:p>
      <w:pPr>
        <w:spacing w:after="0" w:line="154" w:lineRule="exact"/>
        <w:rPr>
          <w:sz w:val="20"/>
          <w:szCs w:val="20"/>
          <w:color w:val="auto"/>
        </w:rPr>
      </w:pPr>
    </w:p>
    <w:p>
      <w:pPr>
        <w:ind w:left="760" w:right="140" w:firstLine="745"/>
        <w:spacing w:after="0" w:line="245" w:lineRule="auto"/>
        <w:tabs>
          <w:tab w:leader="none" w:pos="183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shall pay to the Executive the Accrued Obligations, which shall be paid in one lump sum in cash on the Date of Termination, and the Prior Year’s Bonus, which shall be paid in a lump sum in cash when annual bonuses are paid to executives generally; and</w:t>
      </w:r>
    </w:p>
    <w:p>
      <w:pPr>
        <w:spacing w:after="0" w:line="170" w:lineRule="exact"/>
        <w:rPr>
          <w:rFonts w:ascii="Arial" w:cs="Arial" w:eastAsia="Arial" w:hAnsi="Arial"/>
          <w:sz w:val="22"/>
          <w:szCs w:val="22"/>
          <w:color w:val="auto"/>
        </w:rPr>
      </w:pPr>
    </w:p>
    <w:p>
      <w:pPr>
        <w:ind w:left="760" w:right="540" w:firstLine="745"/>
        <w:spacing w:after="0" w:line="259" w:lineRule="auto"/>
        <w:tabs>
          <w:tab w:leader="none" w:pos="1833"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provided the Executive executes and does not revoke the release consistent with Section 4.7 below, the Company shall:</w:t>
      </w:r>
    </w:p>
    <w:p>
      <w:pPr>
        <w:spacing w:after="0" w:line="156" w:lineRule="exact"/>
        <w:rPr>
          <w:rFonts w:ascii="Arial" w:cs="Arial" w:eastAsia="Arial" w:hAnsi="Arial"/>
          <w:sz w:val="22"/>
          <w:szCs w:val="22"/>
          <w:color w:val="auto"/>
        </w:rPr>
      </w:pPr>
    </w:p>
    <w:p>
      <w:pPr>
        <w:ind w:left="1500" w:firstLine="754"/>
        <w:spacing w:after="0" w:line="234" w:lineRule="auto"/>
        <w:tabs>
          <w:tab w:leader="none" w:pos="2501" w:val="left"/>
        </w:tabs>
        <w:numPr>
          <w:ilvl w:val="1"/>
          <w:numId w:val="58"/>
        </w:numPr>
        <w:rPr>
          <w:rFonts w:ascii="Arial" w:cs="Arial" w:eastAsia="Arial" w:hAnsi="Arial"/>
          <w:sz w:val="22"/>
          <w:szCs w:val="22"/>
          <w:color w:val="auto"/>
        </w:rPr>
      </w:pPr>
      <w:r>
        <w:rPr>
          <w:rFonts w:ascii="Arial" w:cs="Arial" w:eastAsia="Arial" w:hAnsi="Arial"/>
          <w:sz w:val="22"/>
          <w:szCs w:val="22"/>
          <w:color w:val="auto"/>
        </w:rPr>
        <w:t>pay the amount equal to the sum of (A) the product obtained by multiplying (1) 1.5 by (2) the Executive’s annual base salary as in effect on the Date of Termination, (B) the Executive’s highest annual bonus during the three-year period prior to the Date of Termination, and (C) the product obtained by multiplying (y) the Executive’s target annual bonus for the year in which the Date of Termination occurs by (z) a fraction, the numerator of which is the number of days the Executive was employed by the Company during such year, and the denominator of which is 365, which shall be paid in one lump sum within 10 days after the Release Effective Date; provided that if the Date of Termination precedes the closing of the Change in Control, then the foregoing amount shall be paid in accordance with the terms of Section 4.1(b) until the closing date of the Change in Control and thereafter shall be paid out in accordance with this Section 4.2(b)(i);</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63" w:name="page64"/>
    <w:bookmarkEnd w:id="63"/>
    <w:p>
      <w:pPr>
        <w:ind w:left="1500" w:right="160" w:firstLine="754"/>
        <w:spacing w:after="0" w:line="244" w:lineRule="auto"/>
        <w:tabs>
          <w:tab w:leader="none" w:pos="2548" w:val="left"/>
        </w:tabs>
        <w:numPr>
          <w:ilvl w:val="0"/>
          <w:numId w:val="59"/>
        </w:numPr>
        <w:rPr>
          <w:rFonts w:ascii="Arial" w:cs="Arial" w:eastAsia="Arial" w:hAnsi="Arial"/>
          <w:sz w:val="21"/>
          <w:szCs w:val="21"/>
          <w:color w:val="auto"/>
        </w:rPr>
      </w:pPr>
      <w:r>
        <w:rPr>
          <w:rFonts w:ascii="Arial" w:cs="Arial" w:eastAsia="Arial" w:hAnsi="Arial"/>
          <w:sz w:val="21"/>
          <w:szCs w:val="21"/>
          <w:color w:val="auto"/>
        </w:rPr>
        <w:t>subject to the Executive’s timely election to continue participation and that of the Executive’s eligible dependents in the Company’s group medical, dental and/or vision plans under COBRA, the Company will pay for the monthly cost of such COBRA continuation coverage for the Company’s group medical, dental and/or vision insurance premiums (as applicable), with such continuation on the same basis as in effect for active employees with the same coverage until the earliest of (A) eighteen (18) months following the Release Effective Date, (B) the date the Executive and the Executive’s eligible dependents are no longer entitled to coverage under COBRA or the Company’s plans, or (C) the date on which the Executive becomes reemployed with another employer and is eligible to receive group health insurance from such employer on terms at least as favorable to the Executive and the Executive’s eligible dependents as those being provided by the Compan</w:t>
      </w:r>
      <w:r>
        <w:rPr>
          <w:rFonts w:ascii="Times New Roman" w:cs="Times New Roman" w:eastAsia="Times New Roman" w:hAnsi="Times New Roman"/>
          <w:sz w:val="21"/>
          <w:szCs w:val="21"/>
          <w:color w:val="auto"/>
        </w:rPr>
        <w:t>y. Notwithstan</w:t>
      </w:r>
      <w:r>
        <w:rPr>
          <w:rFonts w:ascii="Arial" w:cs="Arial" w:eastAsia="Arial" w:hAnsi="Arial"/>
          <w:sz w:val="21"/>
          <w:szCs w:val="21"/>
          <w:color w:val="auto"/>
        </w:rPr>
        <w:t xml:space="preserve">ding the foregoing, in the event that the Company’s payment of the premium payments, as described in this Section, would subject the Company to any tax or penalty under Section 105(h) of the </w:t>
      </w:r>
      <w:r>
        <w:rPr>
          <w:rFonts w:ascii="Arial" w:cs="Arial" w:eastAsia="Arial" w:hAnsi="Arial"/>
          <w:sz w:val="21"/>
          <w:szCs w:val="21"/>
          <w:u w:val="single" w:color="auto"/>
          <w:color w:val="auto"/>
        </w:rPr>
        <w:t>Code</w:t>
      </w:r>
      <w:r>
        <w:rPr>
          <w:rFonts w:ascii="Arial" w:cs="Arial" w:eastAsia="Arial" w:hAnsi="Arial"/>
          <w:sz w:val="21"/>
          <w:szCs w:val="21"/>
          <w:color w:val="auto"/>
        </w:rPr>
        <w:t>, the Patient Protection and Affordable Care Act, as amended, any regulations or guidance issued thereunder, or any other applicable law, in each case, as determined by the Company, then the Company will not be required to provide them; and</w:t>
      </w:r>
    </w:p>
    <w:p>
      <w:pPr>
        <w:spacing w:after="0" w:line="176" w:lineRule="exact"/>
        <w:rPr>
          <w:rFonts w:ascii="Arial" w:cs="Arial" w:eastAsia="Arial" w:hAnsi="Arial"/>
          <w:sz w:val="21"/>
          <w:szCs w:val="21"/>
          <w:color w:val="auto"/>
        </w:rPr>
      </w:pPr>
    </w:p>
    <w:p>
      <w:pPr>
        <w:ind w:left="1500" w:right="120" w:firstLine="754"/>
        <w:spacing w:after="0"/>
        <w:tabs>
          <w:tab w:leader="none" w:pos="25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each outstanding option to purchase shares of Common Stock of the Company and each other equity-based award, including without limitation, restricted stock units, held by the Executive shall vest in full (with any performance-based equity awards vesting at target levels) and, as applicable, become immediately exercisable in full.</w:t>
      </w:r>
    </w:p>
    <w:p>
      <w:pPr>
        <w:spacing w:after="0" w:line="176" w:lineRule="exact"/>
        <w:rPr>
          <w:sz w:val="20"/>
          <w:szCs w:val="20"/>
          <w:color w:val="auto"/>
        </w:rPr>
      </w:pPr>
    </w:p>
    <w:p>
      <w:pPr>
        <w:ind w:right="140" w:firstLine="749"/>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Resignation without Good Reason following Change in Control; Termination for Death or Disability</w:t>
      </w:r>
      <w:r>
        <w:rPr>
          <w:rFonts w:ascii="Arial" w:cs="Arial" w:eastAsia="Arial" w:hAnsi="Arial"/>
          <w:sz w:val="22"/>
          <w:szCs w:val="22"/>
          <w:color w:val="auto"/>
        </w:rPr>
        <w:t>. If the Executive voluntarily terminates the Executive’s employment with the Company within 24 months following the Change in Control Date, excluding a termination for Good Reason, or if the Executive’s employment with the Company is terminated by reason of the Executive’s death or Disability, then the Company shall pay the Executive (or the Executive’s estate, if applicable) the Accrued Obligations in a lump sum in cash on the first regular payroll after the Date of Termination.</w:t>
      </w:r>
    </w:p>
    <w:p>
      <w:pPr>
        <w:spacing w:after="0" w:line="182" w:lineRule="exact"/>
        <w:rPr>
          <w:sz w:val="20"/>
          <w:szCs w:val="20"/>
          <w:color w:val="auto"/>
        </w:rPr>
      </w:pPr>
    </w:p>
    <w:p>
      <w:pPr>
        <w:ind w:firstLine="749"/>
        <w:spacing w:after="0" w:line="244"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Termination for Cause; Resignation prior to Change in Control</w:t>
      </w:r>
      <w:r>
        <w:rPr>
          <w:rFonts w:ascii="Arial" w:cs="Arial" w:eastAsia="Arial" w:hAnsi="Arial"/>
          <w:sz w:val="21"/>
          <w:szCs w:val="21"/>
          <w:color w:val="auto"/>
        </w:rPr>
        <w:t>. If the Company terminates the Executive’s employment with the Company for Cause or if the Executive voluntarily terminates the Executive’s employment with the Company prior to a Change in Control, then the Company shall pay the Executive, in a lump sum in cash on the Date of Termination, the sum of (a) the Executive’s base salary earned through the Date of Termination, (b) the amount of any compensation previously deferred by the Executive, provided that such payment of deferred compensation is consistent with any elections the Executive may have made with respect thereto, and (c) any accrued but unpaid vacation pay, in each case to the extent not previously paid. The Executive must provide three</w:t>
      </w:r>
    </w:p>
    <w:p>
      <w:pPr>
        <w:spacing w:after="0" w:line="2" w:lineRule="exact"/>
        <w:rPr>
          <w:sz w:val="20"/>
          <w:szCs w:val="20"/>
          <w:color w:val="auto"/>
        </w:rPr>
      </w:pPr>
    </w:p>
    <w:p>
      <w:pPr>
        <w:ind w:right="520" w:firstLine="8"/>
        <w:spacing w:after="0"/>
        <w:tabs>
          <w:tab w:leader="none" w:pos="324" w:val="left"/>
        </w:tabs>
        <w:numPr>
          <w:ilvl w:val="0"/>
          <w:numId w:val="60"/>
        </w:numPr>
        <w:rPr>
          <w:rFonts w:ascii="Arial" w:cs="Arial" w:eastAsia="Arial" w:hAnsi="Arial"/>
          <w:sz w:val="22"/>
          <w:szCs w:val="22"/>
          <w:color w:val="auto"/>
        </w:rPr>
      </w:pPr>
      <w:r>
        <w:rPr>
          <w:rFonts w:ascii="Arial" w:cs="Arial" w:eastAsia="Arial" w:hAnsi="Arial"/>
          <w:sz w:val="22"/>
          <w:szCs w:val="22"/>
          <w:color w:val="auto"/>
        </w:rPr>
        <w:t>months’ prior written notice to the Company, given in accordance with Section 7, of the Executive’s voluntary resignation prior to a Change in Control.</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64" w:name="page65"/>
    <w:bookmarkEnd w:id="64"/>
    <w:p>
      <w:pPr>
        <w:ind w:left="-360" w:right="20" w:firstLine="745"/>
        <w:spacing w:after="0" w:line="234" w:lineRule="auto"/>
        <w:tabs>
          <w:tab w:leader="none" w:pos="7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except as set forth in Section 4.5(b), in the event that the Company undergoes a “</w:t>
      </w:r>
      <w:r>
        <w:rPr>
          <w:rFonts w:ascii="Arial" w:cs="Arial" w:eastAsia="Arial" w:hAnsi="Arial"/>
          <w:sz w:val="22"/>
          <w:szCs w:val="22"/>
          <w:u w:val="single" w:color="auto"/>
          <w:color w:val="auto"/>
        </w:rPr>
        <w:t>Change in Ownership or Control</w:t>
      </w:r>
      <w:r>
        <w:rPr>
          <w:rFonts w:ascii="Arial" w:cs="Arial" w:eastAsia="Arial" w:hAnsi="Arial"/>
          <w:sz w:val="22"/>
          <w:szCs w:val="22"/>
          <w:color w:val="auto"/>
        </w:rPr>
        <w:t>” (as defined below), the Company shall not be obligated to provide to the Executive a portion of any “Contingent Compensation Payments” (as defined below) that the Executive would otherwise be entitled to receive to the extent necessary to eliminate any “excess parachute payments” (as defined in Section 280G(b)(l) of the Code) for the Executive. For purposes of this Section 4.5,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w:t>
      </w:r>
      <w:r>
        <w:rPr>
          <w:rFonts w:ascii="Arial" w:cs="Arial" w:eastAsia="Arial" w:hAnsi="Arial"/>
          <w:sz w:val="22"/>
          <w:szCs w:val="22"/>
          <w:u w:val="single" w:color="auto"/>
          <w:color w:val="auto"/>
        </w:rPr>
        <w:t>Eliminated Amount</w:t>
      </w:r>
      <w:r>
        <w:rPr>
          <w:rFonts w:ascii="Arial" w:cs="Arial" w:eastAsia="Arial" w:hAnsi="Arial"/>
          <w:sz w:val="22"/>
          <w:szCs w:val="22"/>
          <w:color w:val="auto"/>
        </w:rPr>
        <w:t>.”</w:t>
      </w:r>
    </w:p>
    <w:p>
      <w:pPr>
        <w:spacing w:after="0" w:line="183" w:lineRule="exact"/>
        <w:rPr>
          <w:rFonts w:ascii="Arial" w:cs="Arial" w:eastAsia="Arial" w:hAnsi="Arial"/>
          <w:sz w:val="22"/>
          <w:szCs w:val="22"/>
          <w:color w:val="auto"/>
        </w:rPr>
      </w:pPr>
    </w:p>
    <w:p>
      <w:pPr>
        <w:ind w:left="-360" w:firstLine="745"/>
        <w:spacing w:after="0" w:line="233" w:lineRule="auto"/>
        <w:tabs>
          <w:tab w:leader="none" w:pos="7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Notwithstanding the provisions of Section 4.5(a), no such reduction in Contingent Compensation Payments shall be made if (i) the Eliminated Amount (computed without regard to this sentence) exceeds (ii)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4.5(b) shall be referred to as a “</w:t>
      </w:r>
      <w:r>
        <w:rPr>
          <w:rFonts w:ascii="Arial" w:cs="Arial" w:eastAsia="Arial" w:hAnsi="Arial"/>
          <w:sz w:val="22"/>
          <w:szCs w:val="22"/>
          <w:u w:val="single" w:color="auto"/>
          <w:color w:val="auto"/>
        </w:rPr>
        <w:t>Section 4.5(b) Override</w:t>
      </w:r>
      <w:r>
        <w:rPr>
          <w:rFonts w:ascii="Arial" w:cs="Arial" w:eastAsia="Arial" w:hAnsi="Arial"/>
          <w:sz w:val="22"/>
          <w:szCs w:val="22"/>
          <w:color w:val="auto"/>
        </w:rPr>
        <w:t>.”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bylaw.</w:t>
      </w:r>
    </w:p>
    <w:p>
      <w:pPr>
        <w:spacing w:after="0" w:line="182" w:lineRule="exact"/>
        <w:rPr>
          <w:rFonts w:ascii="Arial" w:cs="Arial" w:eastAsia="Arial" w:hAnsi="Arial"/>
          <w:sz w:val="22"/>
          <w:szCs w:val="22"/>
          <w:color w:val="auto"/>
        </w:rPr>
      </w:pPr>
    </w:p>
    <w:p>
      <w:pPr>
        <w:ind w:left="700" w:hanging="315"/>
        <w:spacing w:after="0"/>
        <w:tabs>
          <w:tab w:leader="none" w:pos="7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For purposes of this Section 4.5, the following terms shall have the following respective meanings:</w:t>
      </w:r>
    </w:p>
    <w:p>
      <w:pPr>
        <w:spacing w:after="0" w:line="217" w:lineRule="exact"/>
        <w:rPr>
          <w:rFonts w:ascii="Arial" w:cs="Arial" w:eastAsia="Arial" w:hAnsi="Arial"/>
          <w:sz w:val="21"/>
          <w:szCs w:val="21"/>
          <w:color w:val="auto"/>
        </w:rPr>
      </w:pPr>
    </w:p>
    <w:p>
      <w:pPr>
        <w:ind w:left="380" w:right="480" w:firstLine="754"/>
        <w:spacing w:after="0" w:line="245" w:lineRule="auto"/>
        <w:tabs>
          <w:tab w:leader="none" w:pos="1381"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Ownership or Control</w:t>
      </w:r>
      <w:r>
        <w:rPr>
          <w:rFonts w:ascii="Arial" w:cs="Arial" w:eastAsia="Arial" w:hAnsi="Arial"/>
          <w:sz w:val="22"/>
          <w:szCs w:val="22"/>
          <w:color w:val="auto"/>
        </w:rPr>
        <w:t>” shall mean a change in the ownership or effective control of the Company or in the ownership of a substantial portion of the assets of the Company determined in accordance with Section 280G(b)(2) of the Code.</w:t>
      </w:r>
    </w:p>
    <w:p>
      <w:pPr>
        <w:spacing w:after="0" w:line="170" w:lineRule="exact"/>
        <w:rPr>
          <w:rFonts w:ascii="Arial" w:cs="Arial" w:eastAsia="Arial" w:hAnsi="Arial"/>
          <w:sz w:val="22"/>
          <w:szCs w:val="22"/>
          <w:color w:val="auto"/>
        </w:rPr>
      </w:pPr>
    </w:p>
    <w:p>
      <w:pPr>
        <w:ind w:left="380" w:right="80" w:firstLine="754"/>
        <w:spacing w:after="0" w:line="255" w:lineRule="auto"/>
        <w:tabs>
          <w:tab w:leader="none" w:pos="1428" w:val="left"/>
        </w:tabs>
        <w:numPr>
          <w:ilvl w:val="1"/>
          <w:numId w:val="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Compensation Payment</w:t>
      </w:r>
      <w:r>
        <w:rPr>
          <w:rFonts w:ascii="Arial" w:cs="Arial" w:eastAsia="Arial" w:hAnsi="Arial"/>
          <w:sz w:val="21"/>
          <w:szCs w:val="21"/>
          <w:color w:val="auto"/>
        </w:rPr>
        <w: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61" w:lineRule="exact"/>
        <w:rPr>
          <w:rFonts w:ascii="Arial" w:cs="Arial" w:eastAsia="Arial" w:hAnsi="Arial"/>
          <w:sz w:val="21"/>
          <w:szCs w:val="21"/>
          <w:color w:val="auto"/>
        </w:rPr>
      </w:pPr>
    </w:p>
    <w:p>
      <w:pPr>
        <w:ind w:left="-360" w:right="160" w:firstLine="745"/>
        <w:spacing w:after="0"/>
        <w:tabs>
          <w:tab w:leader="none" w:pos="7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payments or other benefits otherwise due to the Executive following a Change in Ownership or Control that could reasonably be characterized (as determined by the Company) as Contingent Compensation Payments (the “</w:t>
      </w:r>
      <w:r>
        <w:rPr>
          <w:rFonts w:ascii="Arial" w:cs="Arial" w:eastAsia="Arial" w:hAnsi="Arial"/>
          <w:sz w:val="22"/>
          <w:szCs w:val="22"/>
          <w:u w:val="single" w:color="auto"/>
          <w:color w:val="auto"/>
        </w:rPr>
        <w:t>Potential Payments</w:t>
      </w:r>
      <w:r>
        <w:rPr>
          <w:rFonts w:ascii="Arial" w:cs="Arial" w:eastAsia="Arial" w:hAnsi="Arial"/>
          <w:sz w:val="22"/>
          <w:szCs w:val="22"/>
          <w:color w:val="auto"/>
        </w:rPr>
        <w:t>”) shall not be made until the dates provided for in this Section 4.5(d). Within 30 days after each date on</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713740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36" w:right="379" w:bottom="1440" w:gutter="0" w:footer="0" w:header="0"/>
        </w:sectPr>
      </w:pPr>
    </w:p>
    <w:bookmarkStart w:id="65" w:name="page66"/>
    <w:bookmarkEnd w:id="65"/>
    <w:p>
      <w:pPr>
        <w:spacing w:after="0" w:line="231" w:lineRule="auto"/>
        <w:rPr>
          <w:sz w:val="20"/>
          <w:szCs w:val="20"/>
          <w:color w:val="auto"/>
        </w:rPr>
      </w:pPr>
      <w:r>
        <w:rPr>
          <w:rFonts w:ascii="Arial" w:cs="Arial" w:eastAsia="Arial" w:hAnsi="Arial"/>
          <w:sz w:val="22"/>
          <w:szCs w:val="22"/>
          <w:color w:val="auto"/>
        </w:rPr>
        <w:t>which the Executive first becomes entitled to receive (whether or not then due) a Contingent Compensation Payment relating to such Change in Ownership or Control, the Company shall determine and notify the Executive (with reasonable detail regarding the basis for its determinations) (i) which Potential Payments constitute Contingent Compensation Payments, (ii) the Eliminated Amount and (iii) whether the Section 4.5(b) Override is applicable. Within 30 days after delivery of such notice to the Executive, the Executive shall deliver a response to the Company (the “</w:t>
      </w:r>
      <w:r>
        <w:rPr>
          <w:rFonts w:ascii="Arial" w:cs="Arial" w:eastAsia="Arial" w:hAnsi="Arial"/>
          <w:sz w:val="22"/>
          <w:szCs w:val="22"/>
          <w:u w:val="single" w:color="auto"/>
          <w:color w:val="auto"/>
        </w:rPr>
        <w:t>Executive Response</w:t>
      </w:r>
      <w:r>
        <w:rPr>
          <w:rFonts w:ascii="Arial" w:cs="Arial" w:eastAsia="Arial" w:hAnsi="Arial"/>
          <w:sz w:val="22"/>
          <w:szCs w:val="22"/>
          <w:color w:val="auto"/>
        </w:rPr>
        <w:t>”) stating either (A) that the Executive agrees with the Company’s determination pursuant to the preceding sentence or (B) that the Executive disagrees with such determination, in which case the Executive shall set forth (i) which Potential Payments should be characterized as Contingent Compensation Payments, (ii) the Eliminated Amount, and (iii) whether the Section 4.5(b)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60 days following delivery of the Executive Response, the Executive and the Company shall use good faith efforts to resolve such dispute. If such dispute is not resolved within such 60-day period, such dispute shall be settled exclusively by arbitration as set forth in Section 5.1 below. Judgment may be entered on the arbitrator’s award in any court having jurisdiction. The Company shall, within three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 Subject to the limitations contained in Sections 4.5(a) and (b) hereof, the amount of any payments to be made to the Executive following the resolution of such dispute shall be increased by amount of the accrued interest thereon computed at the prime rate announced from time to time by Bank of America or its successor, compounded monthly from the date that such payments originally were due.</w:t>
      </w:r>
    </w:p>
    <w:p>
      <w:pPr>
        <w:spacing w:after="0" w:line="202" w:lineRule="exact"/>
        <w:rPr>
          <w:sz w:val="20"/>
          <w:szCs w:val="20"/>
          <w:color w:val="auto"/>
        </w:rPr>
      </w:pPr>
    </w:p>
    <w:p>
      <w:pPr>
        <w:ind w:right="140" w:firstLine="745"/>
        <w:spacing w:after="0" w:line="235" w:lineRule="auto"/>
        <w:tabs>
          <w:tab w:leader="none" w:pos="1073"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w:t>
      </w:r>
    </w:p>
    <w:p>
      <w:pPr>
        <w:spacing w:after="0" w:line="3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36" w:right="339" w:bottom="1440" w:gutter="0" w:footer="0" w:header="0"/>
        </w:sectPr>
      </w:pPr>
    </w:p>
    <w:bookmarkStart w:id="66" w:name="page67"/>
    <w:bookmarkEnd w:id="66"/>
    <w:p>
      <w:pPr>
        <w:spacing w:after="0" w:line="233" w:lineRule="auto"/>
        <w:rPr>
          <w:sz w:val="20"/>
          <w:szCs w:val="20"/>
          <w:color w:val="auto"/>
        </w:rPr>
      </w:pPr>
      <w:r>
        <w:rPr>
          <w:rFonts w:ascii="Arial" w:cs="Arial" w:eastAsia="Arial" w:hAnsi="Arial"/>
          <w:sz w:val="22"/>
          <w:szCs w:val="22"/>
          <w:color w:val="auto"/>
        </w:rPr>
        <w:t>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w:t>
      </w:r>
      <w:r>
        <w:rPr>
          <w:rFonts w:ascii="Arial" w:cs="Arial" w:eastAsia="Arial" w:hAnsi="Arial"/>
          <w:sz w:val="22"/>
          <w:szCs w:val="22"/>
          <w:u w:val="single" w:color="auto"/>
          <w:color w:val="auto"/>
        </w:rPr>
        <w:t>Contingent Compensation Payment Ratio</w:t>
      </w:r>
      <w:r>
        <w:rPr>
          <w:rFonts w:ascii="Arial" w:cs="Arial" w:eastAsia="Arial" w:hAnsi="Arial"/>
          <w:sz w:val="22"/>
          <w:szCs w:val="22"/>
          <w:color w:val="auto"/>
        </w:rPr>
        <w:t>” 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1.280G-lQ/A-24(b) or (c)).</w:t>
      </w:r>
    </w:p>
    <w:p>
      <w:pPr>
        <w:spacing w:after="0" w:line="185" w:lineRule="exact"/>
        <w:rPr>
          <w:sz w:val="20"/>
          <w:szCs w:val="20"/>
          <w:color w:val="auto"/>
        </w:rPr>
      </w:pPr>
    </w:p>
    <w:p>
      <w:pPr>
        <w:ind w:right="60" w:firstLine="745"/>
        <w:spacing w:after="0" w:line="245" w:lineRule="auto"/>
        <w:tabs>
          <w:tab w:leader="none" w:pos="1013"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provisions of this Section 4.5 are intended to apply to any and all payments or benefits available to the Executive under this Agreement or any other agreement or plan of the Company under which the Executive receives Contingent Compensation Payments.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Distributions; Section 409A of the Code</w:t>
      </w:r>
      <w:r>
        <w:rPr>
          <w:rFonts w:ascii="Arial" w:cs="Arial" w:eastAsia="Arial" w:hAnsi="Arial"/>
          <w:sz w:val="22"/>
          <w:szCs w:val="22"/>
          <w:color w:val="auto"/>
        </w:rPr>
        <w:t>.</w:t>
      </w:r>
    </w:p>
    <w:p>
      <w:pPr>
        <w:spacing w:after="0" w:line="206" w:lineRule="exact"/>
        <w:rPr>
          <w:sz w:val="20"/>
          <w:szCs w:val="20"/>
          <w:color w:val="auto"/>
        </w:rPr>
      </w:pPr>
    </w:p>
    <w:p>
      <w:pPr>
        <w:ind w:right="120" w:firstLine="745"/>
        <w:spacing w:after="0" w:line="236" w:lineRule="auto"/>
        <w:tabs>
          <w:tab w:leader="none" w:pos="1073"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the provisions in this Section 4.6, any severance payments or benefits under this Agreement shall begin only upon the date of the Executive’s “separation from service” (determined as set forth below) which occurs on or after the Executive’s Date of Termination. It is intended that each installment of the payments and benefits provided under this Section 4 shall be treated as a separate “payment” for purposes of Section 409A of the Code and the guidance issued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Neither the Company nor the Executive shall have the right to accelerate or defer the delivery of any such payments or benefits except to the extent specifically permitted or required by Section 409A.</w:t>
      </w:r>
    </w:p>
    <w:p>
      <w:pPr>
        <w:spacing w:after="0" w:line="175" w:lineRule="exact"/>
        <w:rPr>
          <w:rFonts w:ascii="Arial" w:cs="Arial" w:eastAsia="Arial" w:hAnsi="Arial"/>
          <w:sz w:val="22"/>
          <w:szCs w:val="22"/>
          <w:color w:val="auto"/>
        </w:rPr>
      </w:pPr>
    </w:p>
    <w:p>
      <w:pPr>
        <w:ind w:right="200" w:firstLine="745"/>
        <w:spacing w:after="0" w:line="245" w:lineRule="auto"/>
        <w:tabs>
          <w:tab w:leader="none" w:pos="107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as of the date of the “separation from service” of the Executive from the Company, the Executive is not a “specified employee” (each within the meaning of Section 409A), then each installment of the severance payments and benefits shall be made on the dates and terms set forth in this Section 4.</w:t>
      </w:r>
    </w:p>
    <w:p>
      <w:pPr>
        <w:spacing w:after="0" w:line="170" w:lineRule="exact"/>
        <w:rPr>
          <w:rFonts w:ascii="Arial" w:cs="Arial" w:eastAsia="Arial" w:hAnsi="Arial"/>
          <w:sz w:val="22"/>
          <w:szCs w:val="22"/>
          <w:color w:val="auto"/>
        </w:rPr>
      </w:pPr>
    </w:p>
    <w:p>
      <w:pPr>
        <w:ind w:firstLine="745"/>
        <w:spacing w:after="0" w:line="259" w:lineRule="auto"/>
        <w:tabs>
          <w:tab w:leader="none" w:pos="1061"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(each, for purposes of this Agreement, within the meaning of Section 409A), then:</w:t>
      </w:r>
    </w:p>
    <w:p>
      <w:pPr>
        <w:spacing w:after="0" w:line="156" w:lineRule="exact"/>
        <w:rPr>
          <w:rFonts w:ascii="Arial" w:cs="Arial" w:eastAsia="Arial" w:hAnsi="Arial"/>
          <w:sz w:val="22"/>
          <w:szCs w:val="22"/>
          <w:color w:val="auto"/>
        </w:rPr>
      </w:pPr>
    </w:p>
    <w:p>
      <w:pPr>
        <w:ind w:left="740" w:right="20" w:firstLine="754"/>
        <w:spacing w:after="0" w:line="238" w:lineRule="auto"/>
        <w:tabs>
          <w:tab w:leader="none" w:pos="1741" w:val="left"/>
        </w:tabs>
        <w:numPr>
          <w:ilvl w:val="1"/>
          <w:numId w:val="64"/>
        </w:numPr>
        <w:rPr>
          <w:rFonts w:ascii="Arial" w:cs="Arial" w:eastAsia="Arial" w:hAnsi="Arial"/>
          <w:sz w:val="22"/>
          <w:szCs w:val="22"/>
          <w:color w:val="auto"/>
        </w:rPr>
      </w:pPr>
      <w:r>
        <w:rPr>
          <w:rFonts w:ascii="Arial" w:cs="Arial" w:eastAsia="Arial" w:hAnsi="Arial"/>
          <w:sz w:val="22"/>
          <w:szCs w:val="22"/>
          <w:color w:val="auto"/>
        </w:rPr>
        <w:t>Each installment of the severance payments and benefits due under this Section 4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w:t>
      </w: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713740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36" w:right="359" w:bottom="1440" w:gutter="0" w:footer="0" w:header="0"/>
        </w:sectPr>
      </w:pPr>
    </w:p>
    <w:bookmarkStart w:id="67" w:name="page68"/>
    <w:bookmarkEnd w:id="67"/>
    <w:p>
      <w:pPr>
        <w:ind w:left="380" w:right="440"/>
        <w:spacing w:after="0" w:line="259" w:lineRule="auto"/>
        <w:rPr>
          <w:sz w:val="20"/>
          <w:szCs w:val="20"/>
          <w:color w:val="auto"/>
        </w:rPr>
      </w:pPr>
      <w:r>
        <w:rPr>
          <w:rFonts w:ascii="Arial" w:cs="Arial" w:eastAsia="Arial" w:hAnsi="Arial"/>
          <w:sz w:val="22"/>
          <w:szCs w:val="22"/>
          <w:color w:val="auto"/>
        </w:rPr>
        <w:t>to the maximum extent permissible under Section 409A and such payments and benefits shall be paid or provided on the dates and terms set forth in this Agreement; and</w:t>
      </w:r>
    </w:p>
    <w:p>
      <w:pPr>
        <w:spacing w:after="0" w:line="156" w:lineRule="exact"/>
        <w:rPr>
          <w:sz w:val="20"/>
          <w:szCs w:val="20"/>
          <w:color w:val="auto"/>
        </w:rPr>
      </w:pPr>
    </w:p>
    <w:p>
      <w:pPr>
        <w:ind w:left="380" w:firstLine="754"/>
        <w:spacing w:after="0" w:line="233" w:lineRule="auto"/>
        <w:tabs>
          <w:tab w:leader="none" w:pos="14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installment of the severance payments and benefits due under this Section 4 that is not described in Section 4.6(c)(i) above and that would, absent this subsection, be paid within the six-month period following the Executive’s “separation from service” from the Company shall not be paid until the date that is six months and one day after such separation from service (or, if earlier, the death of the Executive),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1.409A-1(b)(9)(iii) must be paid no later than the last day of the second taxable year of the Executive following the taxable year of the Executive in which the separation from service occurs.</w:t>
      </w:r>
    </w:p>
    <w:p>
      <w:pPr>
        <w:spacing w:after="0" w:line="177" w:lineRule="exact"/>
        <w:rPr>
          <w:rFonts w:ascii="Arial" w:cs="Arial" w:eastAsia="Arial" w:hAnsi="Arial"/>
          <w:sz w:val="22"/>
          <w:szCs w:val="22"/>
          <w:color w:val="auto"/>
        </w:rPr>
      </w:pPr>
    </w:p>
    <w:p>
      <w:pPr>
        <w:ind w:left="-360" w:right="220" w:firstLine="745"/>
        <w:spacing w:after="0" w:line="238" w:lineRule="auto"/>
        <w:tabs>
          <w:tab w:leader="none" w:pos="713"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determination of whether and when the Executive’s separation from service from the Company has occurred shall be made and in a manner consistent with and based on the presumptions set forth in, Treasury Regulation Section 1.409A-l(h). Solely for purposes of this Section 4.6, “Company” shall include all persons with whom the Company would be considered a single employer under Section 414 and 414(c) of the Code.</w:t>
      </w:r>
    </w:p>
    <w:p>
      <w:pPr>
        <w:spacing w:after="0" w:line="176" w:lineRule="exact"/>
        <w:rPr>
          <w:rFonts w:ascii="Arial" w:cs="Arial" w:eastAsia="Arial" w:hAnsi="Arial"/>
          <w:sz w:val="22"/>
          <w:szCs w:val="22"/>
          <w:color w:val="auto"/>
        </w:rPr>
      </w:pPr>
    </w:p>
    <w:p>
      <w:pPr>
        <w:ind w:left="-360" w:right="60" w:firstLine="745"/>
        <w:spacing w:after="0" w:line="234" w:lineRule="auto"/>
        <w:tabs>
          <w:tab w:leader="none" w:pos="713"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3" w:lineRule="exact"/>
        <w:rPr>
          <w:rFonts w:ascii="Arial" w:cs="Arial" w:eastAsia="Arial" w:hAnsi="Arial"/>
          <w:sz w:val="22"/>
          <w:szCs w:val="22"/>
          <w:color w:val="auto"/>
        </w:rPr>
      </w:pPr>
    </w:p>
    <w:p>
      <w:pPr>
        <w:ind w:left="-360" w:right="240" w:firstLine="745"/>
        <w:spacing w:after="0"/>
        <w:tabs>
          <w:tab w:leader="none" w:pos="653"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Notwithstanding anything herein to the contrary, neither the Company, the Board nor its or their designees or agents shall have any liability to the Executive or to any other person if the payments and benefits provided hereunder that are intended to be exempt from or compliant with Section 409A are not so exempt or compliant.</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713740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36" w:right="359" w:bottom="1440" w:gutter="0" w:footer="0" w:header="0"/>
        </w:sectPr>
      </w:pPr>
    </w:p>
    <w:bookmarkStart w:id="68" w:name="page69"/>
    <w:bookmarkEnd w:id="68"/>
    <w:p>
      <w:pPr>
        <w:ind w:right="40" w:firstLine="749"/>
        <w:spacing w:after="0" w:line="245"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Release; Sole Remedy</w:t>
      </w:r>
      <w:r>
        <w:rPr>
          <w:rFonts w:ascii="Arial" w:cs="Arial" w:eastAsia="Arial" w:hAnsi="Arial"/>
          <w:sz w:val="21"/>
          <w:szCs w:val="21"/>
          <w:color w:val="auto"/>
        </w:rPr>
        <w:t>. The Company’s obligation to make the severance payments and provide the severance benefits to the Executive under this Agreement are conditioned upon (i) the execution and non-revocation by the Executive of a release of claims (in a form provided by the Company within seven (7) days following the end of Executive’s employment)(the “Release”) within 60 days following the Date of Termination, and (ii) the Executive’s compliance with any employment, consulting, advisory, nondisclosure, non-competition or other similar agreement between the Executive and the Company, provided that the Executive shall be deemed to have been in compliance with the provisions of such agreement if, within ten (10) days of written notice thereof, such noncompliance is cured, unless the Board determines in good faith that noncompliance is not curable, and (b) constitute the sole remedy of the Executive in the event of a termination of the Executive’s employment for any reason. The date on which the Release becomes effective shall be the “</w:t>
      </w:r>
      <w:r>
        <w:rPr>
          <w:rFonts w:ascii="Arial" w:cs="Arial" w:eastAsia="Arial" w:hAnsi="Arial"/>
          <w:sz w:val="21"/>
          <w:szCs w:val="21"/>
          <w:u w:val="single" w:color="auto"/>
          <w:color w:val="auto"/>
        </w:rPr>
        <w:t>Release Effective Date</w:t>
      </w:r>
      <w:r>
        <w:rPr>
          <w:rFonts w:ascii="Arial" w:cs="Arial" w:eastAsia="Arial" w:hAnsi="Arial"/>
          <w:sz w:val="21"/>
          <w:szCs w:val="21"/>
          <w:color w:val="auto"/>
        </w:rPr>
        <w:t>.” Notwithstanding the foregoing, if the 60</w:t>
      </w:r>
      <w:r>
        <w:rPr>
          <w:rFonts w:ascii="Arial" w:cs="Arial" w:eastAsia="Arial" w:hAnsi="Arial"/>
          <w:sz w:val="16"/>
          <w:szCs w:val="16"/>
          <w:color w:val="auto"/>
        </w:rPr>
        <w:t>th</w:t>
      </w:r>
      <w:r>
        <w:rPr>
          <w:rFonts w:ascii="Arial" w:cs="Arial" w:eastAsia="Arial" w:hAnsi="Arial"/>
          <w:sz w:val="21"/>
          <w:szCs w:val="21"/>
          <w:color w:val="auto"/>
        </w:rPr>
        <w:t xml:space="preserve"> day following the date of termination occurs in the calendar year following the calendar year of the termination, then the Release Effective Date shall be no earlier than January 1 of such subsequent calendar year.</w:t>
      </w:r>
    </w:p>
    <w:p>
      <w:pPr>
        <w:spacing w:after="0" w:line="174"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Mitigation</w:t>
      </w:r>
      <w:r>
        <w:rPr>
          <w:rFonts w:ascii="Arial" w:cs="Arial" w:eastAsia="Arial" w:hAnsi="Arial"/>
          <w:sz w:val="22"/>
          <w:szCs w:val="22"/>
          <w:color w:val="auto"/>
        </w:rPr>
        <w:t>. The Executive shall not be required to mitigate the amount of any payment or benefits provided for in this Section 4 by seeking other employment or otherwise. Further, except as provided in Section 4.1(b) and Section 4.5, the amount of any payment or benefits provided for in this Section 4 shall not be reduced by any compensation earned by the Executive as a result of employment by another employer, by retirement benefits, by offset against any amount claimed to be owed by the Executive to the Company or otherwise.</w:t>
      </w:r>
    </w:p>
    <w:p>
      <w:pPr>
        <w:spacing w:after="0" w:line="177" w:lineRule="exact"/>
        <w:rPr>
          <w:sz w:val="20"/>
          <w:szCs w:val="20"/>
          <w:color w:val="auto"/>
        </w:rPr>
      </w:pPr>
    </w:p>
    <w:p>
      <w:pPr>
        <w:ind w:left="1000" w:hanging="243"/>
        <w:spacing w:after="0"/>
        <w:tabs>
          <w:tab w:leader="none" w:pos="10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Disputes</w:t>
      </w:r>
      <w:r>
        <w:rPr>
          <w:rFonts w:ascii="Arial" w:cs="Arial" w:eastAsia="Arial" w:hAnsi="Arial"/>
          <w:sz w:val="22"/>
          <w:szCs w:val="22"/>
          <w:color w:val="auto"/>
        </w:rPr>
        <w:t>.</w:t>
      </w:r>
    </w:p>
    <w:p>
      <w:pPr>
        <w:spacing w:after="0" w:line="206" w:lineRule="exact"/>
        <w:rPr>
          <w:sz w:val="20"/>
          <w:szCs w:val="20"/>
          <w:color w:val="auto"/>
        </w:rPr>
      </w:pPr>
    </w:p>
    <w:p>
      <w:pPr>
        <w:ind w:right="60" w:firstLine="749"/>
        <w:spacing w:after="0" w:line="23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Settlement of Disputes; Arbitration</w:t>
      </w:r>
      <w:r>
        <w:rPr>
          <w:rFonts w:ascii="Arial" w:cs="Arial" w:eastAsia="Arial" w:hAnsi="Arial"/>
          <w:sz w:val="22"/>
          <w:szCs w:val="22"/>
          <w:color w:val="auto"/>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shall be settled exclusively by binding arbitration in Boston, Massachusetts, in accordance with the Employment Arbitration rules of the American Arbitration Association then in effect. Judgment may be entered on the arbitrator’s award in any court having jurisdiction.</w:t>
      </w:r>
    </w:p>
    <w:p>
      <w:pPr>
        <w:spacing w:after="0" w:line="178" w:lineRule="exact"/>
        <w:rPr>
          <w:sz w:val="20"/>
          <w:szCs w:val="20"/>
          <w:color w:val="auto"/>
        </w:rPr>
      </w:pPr>
    </w:p>
    <w:p>
      <w:pPr>
        <w:ind w:right="20" w:firstLine="749"/>
        <w:spacing w:after="0" w:line="24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Expenses</w:t>
      </w:r>
      <w:r>
        <w:rPr>
          <w:rFonts w:ascii="Arial" w:cs="Arial" w:eastAsia="Arial" w:hAnsi="Arial"/>
          <w:sz w:val="21"/>
          <w:szCs w:val="21"/>
          <w:color w:val="auto"/>
        </w:rPr>
        <w:t>. If the Change in Control Date occurs during the Term, the Company agrees to pay as incurred, to the full extent permitted by law, all legal, accounting and other fees and expenses which the Executive may reasonably incur after the Change in Control Date as a result of any claim or contest (regardless of the outcome thereof) by the Company, the Executive or others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69" w:name="page70"/>
    <w:bookmarkEnd w:id="69"/>
    <w:p>
      <w:pPr>
        <w:ind w:right="40" w:firstLine="749"/>
        <w:spacing w:after="0" w:line="23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Compensation During a Dispute</w:t>
      </w:r>
      <w:r>
        <w:rPr>
          <w:rFonts w:ascii="Arial" w:cs="Arial" w:eastAsia="Arial" w:hAnsi="Arial"/>
          <w:sz w:val="22"/>
          <w:szCs w:val="22"/>
          <w:color w:val="auto"/>
        </w:rPr>
        <w:t xml:space="preserve"> . If the Change in Control Date occurs during the Term and the Executive’s employment with the Company terminates within twenty-four (24) months following the Change in Control Date, and the right of the Executive to receive benefits under Section 4 (or the amount or nature of the benefits to which the Executive is entitled to receive) are the subject of a bona fide dispute between the Company and the Executive, the Company shall continue (a) to pay to the Executive the Executive’s base salary in effect as of the Measurement Date and (b) to provide benefits to the Executive and the Executive’s family at least equal to those which would have been provided to them, if the Executive’s employment had not been terminated, in accordance with the applicable benefit plans in effect on the Measurement Date, until such dispute is resolved either by mutual written agreement of the parties or by an arbitrator’s award pursuant to Section 5.1. Following the resolution of such dispute, the sum of the payments made to the Executive under clause (a) of this Section 5.3 shall be deducted from any cash payment which the Executive is entitled to receive pursuant to Section 4; and if such sum exceeds the amount of the cash payment which the Executive is entitled to receive pursuant to Section 4, the excess of such sum over the amount of such payment shall be repaid (without interest) by the Executive to the Company within 60 days of the resolution of such dispute.</w:t>
      </w:r>
    </w:p>
    <w:p>
      <w:pPr>
        <w:spacing w:after="0" w:line="180" w:lineRule="exact"/>
        <w:rPr>
          <w:sz w:val="20"/>
          <w:szCs w:val="20"/>
          <w:color w:val="auto"/>
        </w:rPr>
      </w:pPr>
    </w:p>
    <w:p>
      <w:pPr>
        <w:ind w:left="1000" w:hanging="243"/>
        <w:spacing w:after="0"/>
        <w:tabs>
          <w:tab w:leader="none" w:pos="10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sz w:val="20"/>
          <w:szCs w:val="20"/>
          <w:color w:val="auto"/>
        </w:rPr>
      </w:pPr>
    </w:p>
    <w:p>
      <w:pPr>
        <w:ind w:right="60" w:firstLine="749"/>
        <w:spacing w:after="0" w:line="24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Successor to Company</w:t>
      </w:r>
      <w:r>
        <w:rPr>
          <w:rFonts w:ascii="Arial" w:cs="Arial" w:eastAsia="Arial" w:hAnsi="Arial"/>
          <w:sz w:val="21"/>
          <w:szCs w:val="21"/>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at or prior to the effectiveness of any succession shall be a breach of this Agreement and shall constitute Good Reason if the Executive elects to terminate employment, except that for purposes of implementing the foregoing, the date on which any such succession becomes effective shall be deemed the Date of Termination. As used in this Agreement, “Company” shall mean the Company as defined above and any successor to its business or assets as aforesaid which assumes and agrees to perform this Agreement, by operation of law or otherwise.</w:t>
      </w:r>
    </w:p>
    <w:p>
      <w:pPr>
        <w:spacing w:after="0" w:line="175"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Successor to Executive</w:t>
      </w:r>
      <w:r>
        <w:rPr>
          <w:rFonts w:ascii="Arial" w:cs="Arial" w:eastAsia="Arial" w:hAnsi="Arial"/>
          <w:sz w:val="22"/>
          <w:szCs w:val="22"/>
          <w:color w:val="auto"/>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the Executive’s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82" w:lineRule="exact"/>
        <w:rPr>
          <w:sz w:val="20"/>
          <w:szCs w:val="20"/>
          <w:color w:val="auto"/>
        </w:rPr>
      </w:pPr>
    </w:p>
    <w:p>
      <w:pPr>
        <w:ind w:right="80" w:firstLine="757"/>
        <w:spacing w:after="0" w:line="236" w:lineRule="auto"/>
        <w:tabs>
          <w:tab w:leader="none" w:pos="989"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200 Minuteman Road, Andover, Massachusetts 01810, Attn: Chief Executive Officer, and to the Executive at the Executive’s last residential address on file at the Company (or to such other address as either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70" w:name="page71"/>
    <w:bookmarkEnd w:id="70"/>
    <w:p>
      <w:pPr>
        <w:ind w:right="80"/>
        <w:spacing w:after="0" w:line="236" w:lineRule="auto"/>
        <w:rPr>
          <w:sz w:val="20"/>
          <w:szCs w:val="20"/>
          <w:color w:val="auto"/>
        </w:rPr>
      </w:pPr>
      <w:r>
        <w:rPr>
          <w:rFonts w:ascii="Arial" w:cs="Arial" w:eastAsia="Arial" w:hAnsi="Arial"/>
          <w:sz w:val="22"/>
          <w:szCs w:val="22"/>
          <w:color w:val="auto"/>
        </w:rPr>
        <w:t>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82" w:lineRule="exact"/>
        <w:rPr>
          <w:sz w:val="20"/>
          <w:szCs w:val="20"/>
          <w:color w:val="auto"/>
        </w:rPr>
      </w:pPr>
    </w:p>
    <w:p>
      <w:pPr>
        <w:ind w:left="1000" w:hanging="243"/>
        <w:spacing w:after="0"/>
        <w:tabs>
          <w:tab w:leader="none" w:pos="10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100" w:firstLine="749"/>
        <w:spacing w:after="0" w:line="24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Employment by Subsidiary</w:t>
      </w:r>
      <w:r>
        <w:rPr>
          <w:rFonts w:ascii="Arial" w:cs="Arial" w:eastAsia="Arial" w:hAnsi="Arial"/>
          <w:sz w:val="22"/>
          <w:szCs w:val="22"/>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70" w:lineRule="exact"/>
        <w:rPr>
          <w:sz w:val="20"/>
          <w:szCs w:val="20"/>
          <w:color w:val="auto"/>
        </w:rPr>
      </w:pPr>
    </w:p>
    <w:p>
      <w:pPr>
        <w:ind w:right="620" w:firstLine="749"/>
        <w:spacing w:after="0" w:line="283"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which shall remain in full force and effect.</w:t>
      </w:r>
    </w:p>
    <w:p>
      <w:pPr>
        <w:spacing w:after="0" w:line="133"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Injunctive Relief</w:t>
      </w:r>
      <w:r>
        <w:rPr>
          <w:rFonts w:ascii="Arial" w:cs="Arial" w:eastAsia="Arial" w:hAnsi="Arial"/>
          <w:sz w:val="22"/>
          <w:szCs w:val="22"/>
          <w:color w:val="auto"/>
        </w:rPr>
        <w:t>. The Company and the Executive agree that any breach of this Agreement by the Company is likely to cause the Executive substantial and irrevocable damage and therefore, in the event of any such breach, in addition to such other remedies which may be available, the Executive shall have the right to specific performance and injunctive relief.</w:t>
      </w:r>
    </w:p>
    <w:p>
      <w:pPr>
        <w:spacing w:after="0" w:line="176" w:lineRule="exact"/>
        <w:rPr>
          <w:sz w:val="20"/>
          <w:szCs w:val="20"/>
          <w:color w:val="auto"/>
        </w:rPr>
      </w:pPr>
    </w:p>
    <w:p>
      <w:pPr>
        <w:ind w:right="260" w:firstLine="749"/>
        <w:spacing w:after="0" w:line="283"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interpretation, construction and performance of this Agreement shall be governed by the internal laws of the Commonwealth of Massachusetts, without regard to conflicts of law principles.</w:t>
      </w:r>
    </w:p>
    <w:p>
      <w:pPr>
        <w:spacing w:after="0" w:line="133" w:lineRule="exact"/>
        <w:rPr>
          <w:sz w:val="20"/>
          <w:szCs w:val="20"/>
          <w:color w:val="auto"/>
        </w:rPr>
      </w:pPr>
    </w:p>
    <w:p>
      <w:pPr>
        <w:ind w:right="320" w:firstLine="749"/>
        <w:spacing w:after="0" w:line="245"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Waivers</w:t>
      </w:r>
      <w:r>
        <w:rPr>
          <w:rFonts w:ascii="Arial" w:cs="Arial" w:eastAsia="Arial" w:hAnsi="Arial"/>
          <w:sz w:val="22"/>
          <w:szCs w:val="22"/>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to be an original but both of which together shall constitute one and the same instrument.</w:t>
      </w:r>
    </w:p>
    <w:p>
      <w:pPr>
        <w:spacing w:after="0" w:line="156"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Tax Withholding</w:t>
      </w:r>
      <w:r>
        <w:rPr>
          <w:rFonts w:ascii="Arial" w:cs="Arial" w:eastAsia="Arial" w:hAnsi="Arial"/>
          <w:sz w:val="22"/>
          <w:szCs w:val="22"/>
          <w:color w:val="auto"/>
        </w:rPr>
        <w:t>. Any payments provided for hereunder shall be paid net of any applicable tax withholding required under federal, state or local law.</w:t>
      </w:r>
    </w:p>
    <w:p>
      <w:pPr>
        <w:spacing w:after="0" w:line="156"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6" w:right="379" w:bottom="1440" w:gutter="0" w:footer="0" w:header="0"/>
        </w:sectPr>
      </w:pPr>
    </w:p>
    <w:bookmarkStart w:id="71" w:name="page72"/>
    <w:bookmarkEnd w:id="71"/>
    <w:p>
      <w:pPr>
        <w:ind w:right="340" w:firstLine="749"/>
        <w:spacing w:after="0" w:line="259"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be amended or modified only by a written instrument executed by both the Company and the Executive.</w:t>
      </w:r>
    </w:p>
    <w:p>
      <w:pPr>
        <w:spacing w:after="0" w:line="15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Executive’s Acknowledgements</w:t>
      </w:r>
      <w:r>
        <w:rPr>
          <w:rFonts w:ascii="Arial" w:cs="Arial" w:eastAsia="Arial" w:hAnsi="Arial"/>
          <w:sz w:val="22"/>
          <w:szCs w:val="22"/>
          <w:color w:val="auto"/>
        </w:rPr>
        <w:t>. The Executive acknowledges that the Executive: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Ropes&amp;Gray LLP is acting as counsel to the Company in connection with the transactions contemplated by this Agreement, and is not acting as counsel for the Executive.</w:t>
      </w: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36" w:right="439" w:bottom="1440" w:gutter="0" w:footer="0" w:header="0"/>
        </w:sectPr>
      </w:pPr>
    </w:p>
    <w:bookmarkStart w:id="72" w:name="page73"/>
    <w:bookmarkEnd w:id="72"/>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IN WITNESS WHEREOF, the parties hereto have executed this Agreement as of the day and year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TRANSMEDICS,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By: /s/ Waleed H. Hassanein,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5080</wp:posOffset>
            </wp:positionV>
            <wp:extent cx="26060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Waleed H. Hassanein, M.D.</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Matthew S. Forsyth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9"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Matthew S. Forsyth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73" w:name="page74"/>
    <w:bookmarkEnd w:id="7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0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Waleed Hassanein, M.D., certify that:</w:t>
      </w:r>
    </w:p>
    <w:p>
      <w:pPr>
        <w:spacing w:after="0" w:line="198" w:lineRule="exact"/>
        <w:rPr>
          <w:sz w:val="20"/>
          <w:szCs w:val="20"/>
          <w:color w:val="auto"/>
        </w:rPr>
      </w:pPr>
    </w:p>
    <w:p>
      <w:pPr>
        <w:ind w:left="940" w:hanging="183"/>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TransMedics Group, Inc.;</w:t>
      </w:r>
    </w:p>
    <w:p>
      <w:pPr>
        <w:spacing w:after="0" w:line="184" w:lineRule="exact"/>
        <w:rPr>
          <w:rFonts w:ascii="Times New Roman" w:cs="Times New Roman" w:eastAsia="Times New Roman" w:hAnsi="Times New Roman"/>
          <w:sz w:val="18"/>
          <w:szCs w:val="18"/>
          <w:color w:val="auto"/>
        </w:rPr>
      </w:pPr>
    </w:p>
    <w:p>
      <w:pPr>
        <w:ind w:right="80" w:firstLine="757"/>
        <w:spacing w:after="0" w:line="266" w:lineRule="auto"/>
        <w:tabs>
          <w:tab w:leader="none" w:pos="9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40" w:firstLine="757"/>
        <w:spacing w:after="0" w:line="282" w:lineRule="auto"/>
        <w:tabs>
          <w:tab w:leader="none" w:pos="9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firstLine="757"/>
        <w:spacing w:after="0" w:line="266" w:lineRule="auto"/>
        <w:tabs>
          <w:tab w:leader="none" w:pos="9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160" w:firstLine="745"/>
        <w:spacing w:after="0" w:line="266" w:lineRule="auto"/>
        <w:tabs>
          <w:tab w:leader="none" w:pos="16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firstLine="745"/>
        <w:spacing w:after="0" w:line="266" w:lineRule="auto"/>
        <w:tabs>
          <w:tab w:leader="none" w:pos="17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760" w:right="80" w:firstLine="745"/>
        <w:spacing w:after="0" w:line="312" w:lineRule="auto"/>
        <w:tabs>
          <w:tab w:leader="none" w:pos="1693"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40" w:firstLine="745"/>
        <w:spacing w:after="0" w:line="266" w:lineRule="auto"/>
        <w:tabs>
          <w:tab w:leader="none" w:pos="17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40" w:firstLine="757"/>
        <w:spacing w:after="0" w:line="282" w:lineRule="auto"/>
        <w:tabs>
          <w:tab w:leader="none" w:pos="9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40" w:firstLine="745"/>
        <w:spacing w:after="0" w:line="282" w:lineRule="auto"/>
        <w:tabs>
          <w:tab w:leader="none" w:pos="16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320" w:firstLine="745"/>
        <w:spacing w:after="0" w:line="282" w:lineRule="auto"/>
        <w:tabs>
          <w:tab w:leader="none" w:pos="17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Waleed H. Hassanein,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Waleed H. Hassanein,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60" w:right="10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Gerardo Hernandez, certify that:</w:t>
      </w:r>
    </w:p>
    <w:p>
      <w:pPr>
        <w:spacing w:after="0" w:line="198" w:lineRule="exact"/>
        <w:rPr>
          <w:sz w:val="20"/>
          <w:szCs w:val="20"/>
          <w:color w:val="auto"/>
        </w:rPr>
      </w:pPr>
    </w:p>
    <w:p>
      <w:pPr>
        <w:ind w:left="940" w:hanging="183"/>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TransMedics Group, Inc.;</w:t>
      </w:r>
    </w:p>
    <w:p>
      <w:pPr>
        <w:spacing w:after="0" w:line="184" w:lineRule="exact"/>
        <w:rPr>
          <w:rFonts w:ascii="Times New Roman" w:cs="Times New Roman" w:eastAsia="Times New Roman" w:hAnsi="Times New Roman"/>
          <w:sz w:val="18"/>
          <w:szCs w:val="18"/>
          <w:color w:val="auto"/>
        </w:rPr>
      </w:pPr>
    </w:p>
    <w:p>
      <w:pPr>
        <w:ind w:right="80" w:firstLine="757"/>
        <w:spacing w:after="0" w:line="266" w:lineRule="auto"/>
        <w:tabs>
          <w:tab w:leader="none" w:pos="9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40" w:firstLine="757"/>
        <w:spacing w:after="0" w:line="282" w:lineRule="auto"/>
        <w:tabs>
          <w:tab w:leader="none" w:pos="9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firstLine="757"/>
        <w:spacing w:after="0" w:line="266" w:lineRule="auto"/>
        <w:tabs>
          <w:tab w:leader="none" w:pos="9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160" w:firstLine="745"/>
        <w:spacing w:after="0" w:line="266" w:lineRule="auto"/>
        <w:tabs>
          <w:tab w:leader="none" w:pos="16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firstLine="745"/>
        <w:spacing w:after="0" w:line="266" w:lineRule="auto"/>
        <w:tabs>
          <w:tab w:leader="none" w:pos="17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760" w:right="80" w:firstLine="745"/>
        <w:spacing w:after="0" w:line="312" w:lineRule="auto"/>
        <w:tabs>
          <w:tab w:leader="none" w:pos="169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40" w:firstLine="745"/>
        <w:spacing w:after="0" w:line="266" w:lineRule="auto"/>
        <w:tabs>
          <w:tab w:leader="none" w:pos="17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40" w:firstLine="757"/>
        <w:spacing w:after="0" w:line="282" w:lineRule="auto"/>
        <w:tabs>
          <w:tab w:leader="none" w:pos="9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40" w:firstLine="745"/>
        <w:spacing w:after="0" w:line="282" w:lineRule="auto"/>
        <w:tabs>
          <w:tab w:leader="none" w:pos="16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320" w:firstLine="745"/>
        <w:spacing w:after="0" w:line="282" w:lineRule="auto"/>
        <w:tabs>
          <w:tab w:leader="none" w:pos="17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Gerardo Hernandez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TransMedics Group, Inc. (the “Company”) for the period ended March 31, 2026, as filed with the Securities and Exchange Commission on the date hereof (the “Report”), the undersigned, Waleed Hassanein, M.D., President and Chief Executive Officer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Waleed H. Hassanein, M.D.</w:t>
            </w:r>
          </w:p>
        </w:tc>
      </w:tr>
      <w:tr>
        <w:trPr>
          <w:trHeight w:val="228"/>
        </w:trPr>
        <w:tc>
          <w:tcPr>
            <w:tcW w:w="35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Waleed H. Hassanein, M.D.</w:t>
            </w:r>
          </w:p>
        </w:tc>
      </w:tr>
      <w:tr>
        <w:trPr>
          <w:trHeight w:val="233"/>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40"/>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2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TransMedics Group, Inc. (the “Company”) for the period ended March 31, 2026 as filed with the Securities and Exchange Commission on the date hereof (the “Report”), the undersigned, Gerardo Hernandez, Chief Financial Officer and Treasurer of the Company,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hanging="26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Gerardo Hernandez</w:t>
            </w:r>
          </w:p>
        </w:tc>
      </w:tr>
      <w:tr>
        <w:trPr>
          <w:trHeight w:val="228"/>
        </w:trPr>
        <w:tc>
          <w:tcPr>
            <w:tcW w:w="35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Gerardo Hernandez</w:t>
            </w:r>
          </w:p>
        </w:tc>
      </w:tr>
      <w:tr>
        <w:trPr>
          <w:trHeight w:val="233"/>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40"/>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0"/>
    </w:lvl>
  </w:abstractNum>
  <w:abstractNum w:abstractNumId="6">
    <w:nsid w:val="580BD78F"/>
    <w:multiLevelType w:val="hybridMultilevel"/>
    <w:lvl w:ilvl="0">
      <w:lvlJc w:val="left"/>
      <w:lvlText w:val="%1."/>
      <w:numFmt w:val="decimal"/>
      <w:start w:val="1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2"/>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lowerLetter"/>
      <w:start w:val="4"/>
    </w:lvl>
    <w:lvl w:ilvl="1">
      <w:lvlJc w:val="left"/>
      <w:lvlText w:val="(%2)"/>
      <w:numFmt w:val="lowerLetter"/>
      <w:start w:val="1"/>
    </w:lvl>
  </w:abstractNum>
  <w:abstractNum w:abstractNumId="16">
    <w:nsid w:val="7A6D8D3C"/>
    <w:multiLevelType w:val="hybridMultilevel"/>
    <w:lvl w:ilvl="0">
      <w:lvlJc w:val="left"/>
      <w:lvlText w:val="(%1)"/>
      <w:numFmt w:val="lowerLetter"/>
      <w:start w:val="2"/>
    </w:lvl>
  </w:abstractNum>
  <w:abstractNum w:abstractNumId="17">
    <w:nsid w:val="4B588F54"/>
    <w:multiLevelType w:val="hybridMultilevel"/>
    <w:lvl w:ilvl="0">
      <w:lvlJc w:val="left"/>
      <w:lvlText w:val="%1"/>
      <w:numFmt w:val="lowerLetter"/>
      <w:start w:val="1"/>
    </w:lvl>
    <w:lvl w:ilvl="1">
      <w:lvlJc w:val="left"/>
      <w:lvlText w:val="(%2)"/>
      <w:numFmt w:val="lowerLetter"/>
      <w:start w:val="1"/>
    </w:lvl>
  </w:abstractNum>
  <w:abstractNum w:abstractNumId="18">
    <w:nsid w:val="542289EC"/>
    <w:multiLevelType w:val="hybridMultilevel"/>
    <w:lvl w:ilvl="0">
      <w:lvlJc w:val="left"/>
      <w:lvlText w:val="(%1)"/>
      <w:numFmt w:val="lowerLetter"/>
      <w:start w:val="61"/>
    </w:lvl>
    <w:lvl w:ilvl="1">
      <w:lvlJc w:val="left"/>
      <w:lvlText w:val="(%2)"/>
      <w:numFmt w:val="lowerLetter"/>
      <w:start w:val="2"/>
    </w:lvl>
  </w:abstractNum>
  <w:abstractNum w:abstractNumId="19">
    <w:nsid w:val="6DE91B18"/>
    <w:multiLevelType w:val="hybridMultilevel"/>
    <w:lvl w:ilvl="0">
      <w:lvlJc w:val="left"/>
      <w:lvlText w:val="%1."/>
      <w:numFmt w:val="decimal"/>
      <w:start w:val="2"/>
    </w:lvl>
  </w:abstractNum>
  <w:abstractNum w:abstractNumId="20">
    <w:nsid w:val="38437FDB"/>
    <w:multiLevelType w:val="hybridMultilevel"/>
    <w:lvl w:ilvl="0">
      <w:lvlJc w:val="left"/>
      <w:lvlText w:val="%1."/>
      <w:numFmt w:val="decimal"/>
      <w:start w:val="3"/>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decimal"/>
      <w:start w:val="1"/>
    </w:lvl>
    <w:lvl w:ilvl="1">
      <w:lvlJc w:val="left"/>
      <w:lvlText w:val="(%2)"/>
      <w:numFmt w:val="lowerLetter"/>
      <w:start w:val="3"/>
    </w:lvl>
  </w:abstractNum>
  <w:abstractNum w:abstractNumId="23">
    <w:nsid w:val="684A481A"/>
    <w:multiLevelType w:val="hybridMultilevel"/>
    <w:lvl w:ilvl="0">
      <w:lvlJc w:val="left"/>
      <w:lvlText w:val="%1."/>
      <w:numFmt w:val="decimal"/>
      <w:start w:val="4"/>
    </w:lvl>
    <w:lvl w:ilvl="1">
      <w:lvlJc w:val="left"/>
      <w:lvlText w:val="%2"/>
      <w:numFmt w:val="lowerLetter"/>
      <w:start w:val="1"/>
    </w:lvl>
  </w:abstractNum>
  <w:abstractNum w:abstractNumId="24">
    <w:nsid w:val="579478FE"/>
    <w:multiLevelType w:val="hybridMultilevel"/>
    <w:lvl w:ilvl="0">
      <w:lvlJc w:val="left"/>
      <w:lvlText w:val="(%1)"/>
      <w:numFmt w:val="lowerLetter"/>
      <w:start w:val="1"/>
    </w:lvl>
    <w:lvl w:ilvl="1">
      <w:lvlJc w:val="left"/>
      <w:lvlText w:val="(%2)"/>
      <w:numFmt w:val="lowerLetter"/>
      <w:start w:val="9"/>
    </w:lvl>
  </w:abstractNum>
  <w:abstractNum w:abstractNumId="25">
    <w:nsid w:val="749ABB43"/>
    <w:multiLevelType w:val="hybridMultilevel"/>
    <w:lvl w:ilvl="0">
      <w:lvlJc w:val="left"/>
      <w:lvlText w:val="(%1)"/>
      <w:numFmt w:val="upperLetter"/>
      <w:start w:val="1"/>
    </w:lvl>
  </w:abstractNum>
  <w:abstractNum w:abstractNumId="26">
    <w:nsid w:val="3DC240FB"/>
    <w:multiLevelType w:val="hybridMultilevel"/>
    <w:lvl w:ilvl="0">
      <w:lvlJc w:val="left"/>
      <w:lvlText w:val="(%1)"/>
      <w:numFmt w:val="upperLetter"/>
      <w:start w:val="2"/>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1)"/>
      <w:numFmt w:val="upperLetter"/>
      <w:start w:val="1"/>
    </w:lvl>
  </w:abstractNum>
  <w:abstractNum w:abstractNumId="29">
    <w:nsid w:val="75C6C33A"/>
    <w:multiLevelType w:val="hybridMultilevel"/>
    <w:lvl w:ilvl="0">
      <w:lvlJc w:val="left"/>
      <w:lvlText w:val="(%1)"/>
      <w:numFmt w:val="lowerLetter"/>
      <w:start w:val="1"/>
    </w:lvl>
    <w:lvl w:ilvl="1">
      <w:lvlJc w:val="left"/>
      <w:lvlText w:val="(%2)"/>
      <w:numFmt w:val="lowerRoman"/>
      <w:start w:val="1"/>
    </w:lvl>
  </w:abstractNum>
  <w:abstractNum w:abstractNumId="30">
    <w:nsid w:val="12E685FB"/>
    <w:multiLevelType w:val="hybridMultilevel"/>
    <w:lvl w:ilvl="0">
      <w:lvlJc w:val="left"/>
      <w:lvlText w:val="(%1)"/>
      <w:numFmt w:val="lowerRoman"/>
      <w:start w:val="3"/>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2"/>
    </w:lvl>
    <w:lvl w:ilvl="1">
      <w:lvlJc w:val="left"/>
      <w:lvlText w:val="(%2)"/>
      <w:numFmt w:val="lowerRoman"/>
      <w:start w:val="1"/>
    </w:lvl>
  </w:abstractNum>
  <w:abstractNum w:abstractNumId="33">
    <w:nsid w:val="374A3FE6"/>
    <w:multiLevelType w:val="hybridMultilevel"/>
    <w:lvl w:ilvl="0">
      <w:lvlJc w:val="left"/>
      <w:lvlText w:val="(%1)"/>
      <w:numFmt w:val="lowerLetter"/>
      <w:start w:val="5"/>
    </w:lvl>
  </w:abstractNum>
  <w:abstractNum w:abstractNumId="34">
    <w:nsid w:val="4F4EF005"/>
    <w:multiLevelType w:val="hybridMultilevel"/>
    <w:lvl w:ilvl="0">
      <w:lvlJc w:val="left"/>
      <w:lvlText w:val="(%1)"/>
      <w:numFmt w:val="lowerLetter"/>
      <w:start w:val="6"/>
    </w:lvl>
  </w:abstractNum>
  <w:abstractNum w:abstractNumId="35">
    <w:nsid w:val="23F9C13C"/>
    <w:multiLevelType w:val="hybridMultilevel"/>
    <w:lvl w:ilvl="0">
      <w:lvlJc w:val="left"/>
      <w:lvlText w:val="(%1)"/>
      <w:numFmt w:val="lowerLetter"/>
      <w:start w:val="1"/>
    </w:lvl>
    <w:lvl w:ilvl="1">
      <w:lvlJc w:val="left"/>
      <w:lvlText w:val="(%2)"/>
      <w:numFmt w:val="lowerLetter"/>
      <w:start w:val="9"/>
    </w:lvl>
  </w:abstractNum>
  <w:abstractNum w:abstractNumId="36">
    <w:nsid w:val="649BB77C"/>
    <w:multiLevelType w:val="hybridMultilevel"/>
    <w:lvl w:ilvl="0">
      <w:lvlJc w:val="left"/>
      <w:lvlText w:val="%1"/>
      <w:numFmt w:val="lowerLetter"/>
      <w:start w:val="1"/>
    </w:lvl>
    <w:lvl w:ilvl="1">
      <w:lvlJc w:val="left"/>
      <w:lvlText w:val="(%2)"/>
      <w:numFmt w:val="lowerLetter"/>
      <w:start w:val="35"/>
    </w:lvl>
  </w:abstractNum>
  <w:abstractNum w:abstractNumId="37">
    <w:nsid w:val="275AC794"/>
    <w:multiLevelType w:val="hybridMultilevel"/>
    <w:lvl w:ilvl="0">
      <w:lvlJc w:val="left"/>
      <w:lvlText w:val="(%1)"/>
      <w:numFmt w:val="lowerLetter"/>
      <w:start w:val="4"/>
    </w:lvl>
    <w:lvl w:ilvl="1">
      <w:lvlJc w:val="left"/>
      <w:lvlText w:val="%2"/>
      <w:numFmt w:val="lowerLetter"/>
      <w:start w:val="1"/>
    </w:lvl>
  </w:abstractNum>
  <w:abstractNum w:abstractNumId="38">
    <w:nsid w:val="39386575"/>
    <w:multiLevelType w:val="hybridMultilevel"/>
    <w:lvl w:ilvl="0">
      <w:lvlJc w:val="left"/>
      <w:lvlText w:val="%1."/>
      <w:numFmt w:val="decimal"/>
      <w:start w:val="5"/>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decimal"/>
      <w:start w:val="6"/>
    </w:lvl>
  </w:abstractNum>
  <w:abstractNum w:abstractNumId="41">
    <w:nsid w:val="235BA861"/>
    <w:multiLevelType w:val="hybridMultilevel"/>
    <w:lvl w:ilvl="0">
      <w:lvlJc w:val="left"/>
      <w:lvlText w:val="%1."/>
      <w:numFmt w:val="decimal"/>
      <w:start w:val="7"/>
    </w:lvl>
  </w:abstractNum>
  <w:abstractNum w:abstractNumId="42">
    <w:nsid w:val="47398C89"/>
    <w:multiLevelType w:val="hybridMultilevel"/>
    <w:lvl w:ilvl="0">
      <w:lvlJc w:val="left"/>
      <w:lvlText w:val="%1."/>
      <w:numFmt w:val="decimal"/>
      <w:start w:val="8"/>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lowerLetter"/>
      <w:start w:val="4"/>
    </w:lvl>
    <w:lvl w:ilvl="1">
      <w:lvlJc w:val="left"/>
      <w:lvlText w:val="(%2)"/>
      <w:numFmt w:val="lowerLetter"/>
      <w:start w:val="1"/>
    </w:lvl>
  </w:abstractNum>
  <w:abstractNum w:abstractNumId="45">
    <w:nsid w:val="741226BB"/>
    <w:multiLevelType w:val="hybridMultilevel"/>
    <w:lvl w:ilvl="0">
      <w:lvlJc w:val="left"/>
      <w:lvlText w:val="(%1)"/>
      <w:numFmt w:val="lowerLetter"/>
      <w:start w:val="2"/>
    </w:lvl>
  </w:abstractNum>
  <w:abstractNum w:abstractNumId="46">
    <w:nsid w:val="D34B6A8"/>
    <w:multiLevelType w:val="hybridMultilevel"/>
    <w:lvl w:ilvl="0">
      <w:lvlJc w:val="left"/>
      <w:lvlText w:val="%1"/>
      <w:numFmt w:val="lowerLetter"/>
      <w:start w:val="1"/>
    </w:lvl>
    <w:lvl w:ilvl="1">
      <w:lvlJc w:val="left"/>
      <w:lvlText w:val="(%2)"/>
      <w:numFmt w:val="lowerLetter"/>
      <w:start w:val="1"/>
    </w:lvl>
  </w:abstractNum>
  <w:abstractNum w:abstractNumId="47">
    <w:nsid w:val="10233C99"/>
    <w:multiLevelType w:val="hybridMultilevel"/>
    <w:lvl w:ilvl="0">
      <w:lvlJc w:val="left"/>
      <w:lvlText w:val="(%1)"/>
      <w:numFmt w:val="lowerLetter"/>
      <w:start w:val="61"/>
    </w:lvl>
    <w:lvl w:ilvl="1">
      <w:lvlJc w:val="left"/>
      <w:lvlText w:val="(%2)"/>
      <w:numFmt w:val="lowerLetter"/>
      <w:start w:val="2"/>
    </w:lvl>
  </w:abstractNum>
  <w:abstractNum w:abstractNumId="48">
    <w:nsid w:val="3F6AB60F"/>
    <w:multiLevelType w:val="hybridMultilevel"/>
    <w:lvl w:ilvl="0">
      <w:lvlJc w:val="left"/>
      <w:lvlText w:val="%1."/>
      <w:numFmt w:val="decimal"/>
      <w:start w:val="2"/>
    </w:lvl>
  </w:abstractNum>
  <w:abstractNum w:abstractNumId="49">
    <w:nsid w:val="61574095"/>
    <w:multiLevelType w:val="hybridMultilevel"/>
    <w:lvl w:ilvl="0">
      <w:lvlJc w:val="left"/>
      <w:lvlText w:val="%1."/>
      <w:numFmt w:val="decimal"/>
      <w:start w:val="3"/>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decimal"/>
      <w:start w:val="1"/>
    </w:lvl>
    <w:lvl w:ilvl="1">
      <w:lvlJc w:val="left"/>
      <w:lvlText w:val="(%2)"/>
      <w:numFmt w:val="lowerLetter"/>
      <w:start w:val="3"/>
    </w:lvl>
  </w:abstractNum>
  <w:abstractNum w:abstractNumId="52">
    <w:nsid w:val="579BE4F1"/>
    <w:multiLevelType w:val="hybridMultilevel"/>
    <w:lvl w:ilvl="0">
      <w:lvlJc w:val="left"/>
      <w:lvlText w:val="%1."/>
      <w:numFmt w:val="decimal"/>
      <w:start w:val="4"/>
    </w:lvl>
    <w:lvl w:ilvl="1">
      <w:lvlJc w:val="left"/>
      <w:lvlText w:val="%2"/>
      <w:numFmt w:val="lowerLetter"/>
      <w:start w:val="1"/>
    </w:lvl>
  </w:abstractNum>
  <w:abstractNum w:abstractNumId="53">
    <w:nsid w:val="310C50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
    <w:nsid w:val="5FF87E05"/>
    <w:multiLevelType w:val="hybridMultilevel"/>
    <w:lvl w:ilvl="0">
      <w:lvlJc w:val="left"/>
      <w:lvlText w:val="%1"/>
      <w:numFmt w:val="lowerRoman"/>
      <w:start w:val="1"/>
    </w:lvl>
    <w:lvl w:ilvl="1">
      <w:lvlJc w:val="left"/>
      <w:lvlText w:val="(%2)"/>
      <w:numFmt w:val="upperLetter"/>
      <w:start w:val="2"/>
    </w:lvl>
  </w:abstractNum>
  <w:abstractNum w:abstractNumId="55">
    <w:nsid w:val="2F305DEF"/>
    <w:multiLevelType w:val="hybridMultilevel"/>
    <w:lvl w:ilvl="0">
      <w:lvlJc w:val="left"/>
      <w:lvlText w:val="(%1)"/>
      <w:numFmt w:val="lowerRoman"/>
      <w:start w:val="2"/>
    </w:lvl>
    <w:lvl w:ilvl="1">
      <w:lvlJc w:val="left"/>
      <w:lvlText w:val="(%2)"/>
      <w:numFmt w:val="upperLetter"/>
      <w:start w:val="1"/>
    </w:lvl>
  </w:abstractNum>
  <w:abstractNum w:abstractNumId="56">
    <w:nsid w:val="25A70BF7"/>
    <w:multiLevelType w:val="hybridMultilevel"/>
    <w:lvl w:ilvl="0">
      <w:lvlJc w:val="left"/>
      <w:lvlText w:val="(%1)"/>
      <w:numFmt w:val="upperLetter"/>
      <w:start w:val="3"/>
    </w:lvl>
  </w:abstractNum>
  <w:abstractNum w:abstractNumId="57">
    <w:nsid w:val="1DBABF00"/>
    <w:multiLevelType w:val="hybridMultilevel"/>
    <w:lvl w:ilvl="0">
      <w:lvlJc w:val="left"/>
      <w:lvlText w:val="(%1)"/>
      <w:numFmt w:val="lowerLetter"/>
      <w:start w:val="1"/>
    </w:lvl>
    <w:lvl w:ilvl="1">
      <w:lvlJc w:val="left"/>
      <w:lvlText w:val="(%2)"/>
      <w:numFmt w:val="lowerLetter"/>
      <w:start w:val="9"/>
    </w:lvl>
  </w:abstractNum>
  <w:abstractNum w:abstractNumId="58">
    <w:nsid w:val="4AD084E9"/>
    <w:multiLevelType w:val="hybridMultilevel"/>
    <w:lvl w:ilvl="0">
      <w:lvlJc w:val="left"/>
      <w:lvlText w:val="(%1)"/>
      <w:numFmt w:val="lowerRoman"/>
      <w:start w:val="2"/>
    </w:lvl>
  </w:abstractNum>
  <w:abstractNum w:abstractNumId="59">
    <w:nsid w:val="1F48EAA1"/>
    <w:multiLevelType w:val="hybridMultilevel"/>
    <w:lvl w:ilvl="0">
      <w:lvlJc w:val="left"/>
      <w:lvlText w:val="(%1)"/>
      <w:numFmt w:val="decimal"/>
      <w:start w:val="3"/>
    </w:lvl>
  </w:abstractNum>
  <w:abstractNum w:abstractNumId="60">
    <w:nsid w:val="1381823A"/>
    <w:multiLevelType w:val="hybridMultilevel"/>
    <w:lvl w:ilvl="0">
      <w:lvlJc w:val="left"/>
      <w:lvlText w:val="(%1)"/>
      <w:numFmt w:val="lowerLetter"/>
      <w:start w:val="1"/>
    </w:lvl>
    <w:lvl w:ilvl="1">
      <w:lvlJc w:val="left"/>
      <w:lvlText w:val="(%2)"/>
      <w:numFmt w:val="lowerRoman"/>
      <w:start w:val="1"/>
    </w:lvl>
  </w:abstractNum>
  <w:abstractNum w:abstractNumId="61">
    <w:nsid w:val="5DB70AE5"/>
    <w:multiLevelType w:val="hybridMultilevel"/>
    <w:lvl w:ilvl="0">
      <w:lvlJc w:val="left"/>
      <w:lvlText w:val="(%1)"/>
      <w:numFmt w:val="lowerLetter"/>
      <w:start w:val="5"/>
    </w:lvl>
  </w:abstractNum>
  <w:abstractNum w:abstractNumId="62">
    <w:nsid w:val="100F8FCA"/>
    <w:multiLevelType w:val="hybridMultilevel"/>
    <w:lvl w:ilvl="0">
      <w:lvlJc w:val="left"/>
      <w:lvlText w:val="(%1)"/>
      <w:numFmt w:val="lowerLetter"/>
      <w:start w:val="6"/>
    </w:lvl>
  </w:abstractNum>
  <w:abstractNum w:abstractNumId="63">
    <w:nsid w:val="6590700B"/>
    <w:multiLevelType w:val="hybridMultilevel"/>
    <w:lvl w:ilvl="0">
      <w:lvlJc w:val="left"/>
      <w:lvlText w:val="(%1)"/>
      <w:numFmt w:val="lowerLetter"/>
      <w:start w:val="1"/>
    </w:lvl>
    <w:lvl w:ilvl="1">
      <w:lvlJc w:val="left"/>
      <w:lvlText w:val="(%2)"/>
      <w:numFmt w:val="lowerLetter"/>
      <w:start w:val="9"/>
    </w:lvl>
  </w:abstractNum>
  <w:abstractNum w:abstractNumId="64">
    <w:nsid w:val="15014ACB"/>
    <w:multiLevelType w:val="hybridMultilevel"/>
    <w:lvl w:ilvl="0">
      <w:lvlJc w:val="left"/>
      <w:lvlText w:val="%1"/>
      <w:numFmt w:val="lowerLetter"/>
      <w:start w:val="1"/>
    </w:lvl>
    <w:lvl w:ilvl="1">
      <w:lvlJc w:val="left"/>
      <w:lvlText w:val="(%2)"/>
      <w:numFmt w:val="lowerLetter"/>
      <w:start w:val="35"/>
    </w:lvl>
  </w:abstractNum>
  <w:abstractNum w:abstractNumId="65">
    <w:nsid w:val="5F5E7FD0"/>
    <w:multiLevelType w:val="hybridMultilevel"/>
    <w:lvl w:ilvl="0">
      <w:lvlJc w:val="left"/>
      <w:lvlText w:val="(%1)"/>
      <w:numFmt w:val="lowerLetter"/>
      <w:start w:val="4"/>
    </w:lvl>
    <w:lvl w:ilvl="1">
      <w:lvlJc w:val="left"/>
      <w:lvlText w:val="%2"/>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decimal"/>
      <w:start w:val="6"/>
    </w:lvl>
  </w:abstractNum>
  <w:abstractNum w:abstractNumId="68">
    <w:nsid w:val="6B94764"/>
    <w:multiLevelType w:val="hybridMultilevel"/>
    <w:lvl w:ilvl="0">
      <w:lvlJc w:val="left"/>
      <w:lvlText w:val="%1."/>
      <w:numFmt w:val="decimal"/>
      <w:start w:val="7"/>
    </w:lvl>
  </w:abstractNum>
  <w:abstractNum w:abstractNumId="69">
    <w:nsid w:val="42C296BD"/>
    <w:multiLevelType w:val="hybridMultilevel"/>
    <w:lvl w:ilvl="0">
      <w:lvlJc w:val="left"/>
      <w:lvlText w:val="%1."/>
      <w:numFmt w:val="decimal"/>
      <w:start w:val="8"/>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189" Type="http://schemas.openxmlformats.org/officeDocument/2006/relationships/hyperlink" Target="https://www.sec.gov/Archives/edgar/data/1756262/000156459020011409/tmdx-ex31_551.htm" TargetMode="External"/><Relationship Id="rId190" Type="http://schemas.openxmlformats.org/officeDocument/2006/relationships/hyperlink" Target="https://www.sec.gov/Archives/edgar/data/1756262/000119312522277952/d401238dex31.htm" TargetMode="External"/><Relationship Id="rId191" Type="http://schemas.openxmlformats.org/officeDocument/2006/relationships/hyperlink" Target="https://www.sec.gov/Archives/edgar/data/1756262/000119312526009816/d256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2026-05-05T15:25:25Z</dcterms:created>
  <dcterms:modified xsi:type="dcterms:W3CDTF">2026-05-05T15:25:25Z</dcterms:modified>
</cp:coreProperties>
</file>