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2)*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TransMedics Group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89377M109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89377M109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(b)X</w:t>
      </w: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2580" w:type="dxa"/>
            <w:vAlign w:val="bottom"/>
          </w:tcPr>
          <w:p>
            <w:pPr>
              <w:jc w:val="right"/>
              <w:ind w:right="1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25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59,000 (see Item 4)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25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3,498,374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2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96,685 (see Item 4)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3,595,059 (see Item 4)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(11)</w:t>
            </w:r>
          </w:p>
        </w:tc>
        <w:tc>
          <w:tcPr>
            <w:tcW w:w="5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 of class represented by amount in Row (9)</w:t>
            </w:r>
          </w:p>
        </w:tc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10.77% (see Item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(12)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Type of reporting person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(see instructions)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1(a)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 of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issuer: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TransMedics Group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</w:t>
            </w:r>
          </w:p>
        </w:tc>
        <w:tc>
          <w:tcPr>
            <w:tcW w:w="30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principal executive offices: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1(b)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Address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issuer's</w:t>
            </w:r>
          </w:p>
        </w:tc>
        <w:tc>
          <w:tcPr>
            <w:tcW w:w="3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 Minuteman Road Suite 302 Andover, MA 01810</w:t>
      </w:r>
    </w:p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89377M109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3,595,059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10.77%</w:t>
      </w: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3,595,059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10.77%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59,000</w:t>
      </w:r>
    </w:p>
    <w:p>
      <w:pPr>
        <w:ind w:right="275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3,498,374 (iv) Shared power to dispose or to direct the disposition of: 96,685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including investment companies registered under the Investm* ent Company Act of 1940 and other managed accounts, have the right to receive o* r the power to direct the receipt of dividends from, or the proceeds from the s* ale of, the securities reported herein.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the Security Being Reporting on by the Parent Holding Company or Control Person.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327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 Identification and Classification of Members of the Group Not applicable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Notice of Dissolution of Group.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10. Certifications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69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signing below I certify that, to the best of his/her knowledge and belief, the securities referred to above were not acquired and are not held for the pur* pose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19"/>
        <w:spacing w:after="0" w:line="2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or with the effect of changing or influencing the control of the issuer of the securities and were not acquired and are not held in connection with or as a participant in any transaction having that purpose or effect.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right="169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Signature. After reasonable inquiry and to the best of my knowledge and belief, I certify that the information set forth in this statement is true, complete and correct.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Dated: October 04,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Ashley Grim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Ashley Grim</w:t>
      </w: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</w:t>
        <w:tab/>
        <w:t>Head of Global Fund Administration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312" w:right="1440" w:bottom="1440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2024-10-04T15:43:00Z</dcterms:created>
  <dcterms:modified xsi:type="dcterms:W3CDTF">2024-10-04T15:43:00Z</dcterms:modified>
</cp:coreProperties>
</file>