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TransMedics Group,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w w:val="99"/>
              </w:rPr>
              <w:t>Massachusetts</w:t>
            </w:r>
          </w:p>
        </w:tc>
        <w:tc>
          <w:tcPr>
            <w:tcW w:w="24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001-38891</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83-2181531</w:t>
            </w:r>
          </w:p>
        </w:tc>
      </w:tr>
      <w:tr>
        <w:trPr>
          <w:trHeight w:val="148"/>
        </w:trPr>
        <w:tc>
          <w:tcPr>
            <w:tcW w:w="358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200 Minuteman Road</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Andover, Massachusetts</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01810</w:t>
            </w:r>
          </w:p>
        </w:tc>
      </w:tr>
      <w:tr>
        <w:trPr>
          <w:trHeight w:val="19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(978) 552-0900</w:t>
      </w:r>
    </w:p>
    <w:p>
      <w:pPr>
        <w:spacing w:after="0" w:line="19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213360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ind w:left="4" w:right="480"/>
        <w:spacing w:after="0" w:line="27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TMDX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2.01.</w:t>
      </w:r>
      <w:r>
        <w:rPr>
          <w:sz w:val="20"/>
          <w:szCs w:val="20"/>
          <w:color w:val="auto"/>
        </w:rPr>
        <w:tab/>
      </w:r>
      <w:r>
        <w:rPr>
          <w:rFonts w:ascii="Times New Roman" w:cs="Times New Roman" w:eastAsia="Times New Roman" w:hAnsi="Times New Roman"/>
          <w:sz w:val="18"/>
          <w:szCs w:val="18"/>
          <w:b w:val="1"/>
          <w:bCs w:val="1"/>
          <w:color w:val="auto"/>
        </w:rPr>
        <w:t>Completion of Acquisition or Disposition of Assets.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previously disclosed in a Current Report on Form 8-K filed by TransMedics Group, Inc. (the “Company”) on September 5, 2023, a Current Report on Form 8-K filed by the Company on September 12, 2023, a Current Report on Form 8-K filed by the Company on September 22, 2023, a Current Report on Form 8-K filed by the Company on November 13, 2023, a Current Report on Form 8-K filed by the Company on December 19, 2023, a Current Report on Form 8-K filed by the Company on January 2, 2024, a Current Report on Form 8-K filed by the Company on January 29, 2024, and a Current Report on Form 8-K filed by the Company on February 6, 2024 (together, the “Prior Reports”), TransMedics, Inc. (the “Buyer”), a Delaware corporation and wholly-owned subsidiary of the Company, acquired 13 fixed-wing aircraft (collectively, the “Prior Acquisitions”) as more specifically described in the Prior Reports.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Subsequently, on March 8, 2024, the Buyer acquired a fixed-wing aircraft from Evans General Aviation, LLC for a purchase price of approximately $12.5 million (together with the Prior Acquisitions, the “Acquisitions”). The Company intends to use each of the 14 aircraft it has acquired to date to transport donor organs as part of the services offered under the Company’s National OCS Program, and for purposes of this Current Report on Form 8-K the Company considers the Acquisitions to be a series of related transactions with respect to the acquisition of a fleet of aircraft for use in the Company’s National OCS Program.</w:t>
      </w:r>
    </w:p>
    <w:p>
      <w:pPr>
        <w:sectPr>
          <w:pgSz w:w="11900" w:h="16838" w:orient="portrait"/>
          <w:cols w:equalWidth="0" w:num="1">
            <w:col w:w="11000"/>
          </w:cols>
          <w:pgMar w:left="440" w:top="293"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TRANSMEDICS GROUP,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March 12, 2024</w:t>
            </w:r>
          </w:p>
        </w:tc>
        <w:tc>
          <w:tcPr>
            <w:tcW w:w="26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Gordon</w:t>
            </w:r>
          </w:p>
        </w:tc>
      </w:tr>
      <w:tr>
        <w:trPr>
          <w:trHeight w:val="205"/>
        </w:trPr>
        <w:tc>
          <w:tcPr>
            <w:tcW w:w="3540" w:type="dxa"/>
            <w:vAlign w:val="bottom"/>
          </w:tcPr>
          <w:p>
            <w:pPr>
              <w:spacing w:after="0"/>
              <w:rPr>
                <w:sz w:val="17"/>
                <w:szCs w:val="17"/>
                <w:color w:val="auto"/>
              </w:rPr>
            </w:pPr>
          </w:p>
        </w:tc>
        <w:tc>
          <w:tcPr>
            <w:tcW w:w="2620" w:type="dxa"/>
            <w:vAlign w:val="bottom"/>
          </w:tcPr>
          <w:p>
            <w:pPr>
              <w:ind w:left="19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Stephen Gordon</w:t>
            </w:r>
          </w:p>
        </w:tc>
      </w:tr>
      <w:tr>
        <w:trPr>
          <w:trHeight w:val="234"/>
        </w:trPr>
        <w:tc>
          <w:tcPr>
            <w:tcW w:w="3540" w:type="dxa"/>
            <w:vAlign w:val="bottom"/>
          </w:tcPr>
          <w:p>
            <w:pPr>
              <w:spacing w:after="0"/>
              <w:rPr>
                <w:sz w:val="20"/>
                <w:szCs w:val="20"/>
                <w:color w:val="auto"/>
              </w:rPr>
            </w:pPr>
          </w:p>
        </w:tc>
        <w:tc>
          <w:tcPr>
            <w:tcW w:w="26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2024-03-12T15:17:09Z</dcterms:created>
  <dcterms:modified xsi:type="dcterms:W3CDTF">2024-03-12T15:17:09Z</dcterms:modified>
</cp:coreProperties>
</file>