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dx-20241231.htm"/>
      <w:bookmarkStart w:id="1" w:name="kstmdx20241231"/>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36"/>
        </w:rPr>
        <w:t>FORM 10-K</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p>
      <w:pPr>
        <w:pStyle w:val="TextBody"/>
        <w:bidi w:val="0"/>
        <w:jc w:val="left"/>
        <w:rPr/>
      </w:pPr>
      <w:r>
        <w:rPr/>
        <w:t> </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0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fiscal year ended December 31, 2024</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both"/>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sz w:val="18"/>
              </w:rPr>
            </w:pPr>
            <w:r>
              <w:rPr>
                <w:rFonts w:ascii="Times New Roman" w:hAnsi="Times New Roman"/>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Commission File Number: 001-38891</w:t>
      </w:r>
    </w:p>
    <w:p>
      <w:pPr>
        <w:pStyle w:val="TextBody"/>
        <w:bidi w:val="0"/>
        <w:spacing w:before="60" w:after="283"/>
        <w:jc w:val="center"/>
        <w:rPr>
          <w:rFonts w:ascii="Times New Roman" w:hAnsi="Times New Roman"/>
          <w:sz w:val="20"/>
        </w:rPr>
      </w:pPr>
      <w:r>
        <w:rPr>
          <w:rFonts w:ascii="Times New Roman" w:hAnsi="Times New Roman"/>
          <w:b/>
          <w:color w:val="000000"/>
          <w:sz w:val="42"/>
        </w:rPr>
        <w:t>TransMedics Group,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Massachusetts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83-2181531</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200 Minuteman Road</w:t>
            </w:r>
          </w:p>
          <w:p>
            <w:pPr>
              <w:pStyle w:val="TableContents"/>
              <w:bidi w:val="0"/>
              <w:spacing w:before="0" w:after="15"/>
              <w:jc w:val="center"/>
              <w:rPr>
                <w:rFonts w:ascii="Times New Roman" w:hAnsi="Times New Roman"/>
                <w:b/>
                <w:color w:val="000000"/>
                <w:sz w:val="18"/>
              </w:rPr>
            </w:pPr>
            <w:r>
              <w:rPr>
                <w:rFonts w:ascii="Times New Roman" w:hAnsi="Times New Roman"/>
                <w:b/>
                <w:color w:val="000000"/>
                <w:sz w:val="18"/>
              </w:rPr>
              <w:t>Andover, Massachusetts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01810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Registrant’s telephone number, including area code: (978) 552-0900</w:t>
      </w:r>
      <w:r>
        <w:rPr>
          <w:rFonts w:ascii="Times New Roman" w:hAnsi="Times New Roman"/>
          <w:color w:val="000000"/>
          <w:sz w:val="20"/>
        </w:rPr>
        <w:t xml:space="preserve"> </w:t>
      </w:r>
    </w:p>
    <w:p>
      <w:pPr>
        <w:pStyle w:val="TextBody"/>
        <w:bidi w:val="0"/>
        <w:spacing w:before="60" w:after="283"/>
        <w:jc w:val="both"/>
        <w:rPr>
          <w:rFonts w:ascii="Times New Roman" w:hAnsi="Times New Roman"/>
          <w:b/>
          <w:color w:val="000000"/>
          <w:sz w:val="18"/>
        </w:rPr>
      </w:pPr>
      <w:r>
        <w:rPr>
          <w:rFonts w:ascii="Times New Roman" w:hAnsi="Times New Roman"/>
          <w:b/>
          <w:color w:val="000000"/>
          <w:sz w:val="18"/>
        </w:rPr>
        <w:t>Securities registered pursuant to Section 12(b) of the Act:</w:t>
      </w:r>
    </w:p>
    <w:p>
      <w:pPr>
        <w:pStyle w:val="TextBody"/>
        <w:bidi w:val="0"/>
        <w:jc w:val="both"/>
        <w:rPr/>
      </w:pPr>
      <w:r>
        <w:rPr/>
        <w:t> </w:t>
      </w:r>
    </w:p>
    <w:tbl>
      <w:tblPr>
        <w:tblW w:w="6295" w:type="dxa"/>
        <w:jc w:val="left"/>
        <w:tblInd w:w="0" w:type="dxa"/>
        <w:tblLayout w:type="fixed"/>
        <w:tblCellMar>
          <w:top w:w="28" w:type="dxa"/>
          <w:left w:w="28" w:type="dxa"/>
          <w:bottom w:w="28" w:type="dxa"/>
          <w:right w:w="28" w:type="dxa"/>
        </w:tblCellMar>
      </w:tblPr>
      <w:tblGrid>
        <w:gridCol w:w="2311"/>
        <w:gridCol w:w="146"/>
        <w:gridCol w:w="751"/>
        <w:gridCol w:w="146"/>
        <w:gridCol w:w="294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23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Trading</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9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2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 No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TMDX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The Nasdaq Global Market</w:t>
            </w:r>
          </w:p>
        </w:tc>
      </w:tr>
    </w:tbl>
    <w:p>
      <w:pPr>
        <w:pStyle w:val="TextBody"/>
        <w:bidi w:val="0"/>
        <w:spacing w:before="60" w:after="283"/>
        <w:jc w:val="both"/>
        <w:rPr>
          <w:rFonts w:ascii="Times New Roman" w:hAnsi="Times New Roman"/>
          <w:sz w:val="20"/>
        </w:rPr>
      </w:pPr>
      <w:r>
        <w:rPr>
          <w:rFonts w:ascii="Times New Roman" w:hAnsi="Times New Roman"/>
          <w:b/>
          <w:color w:val="000000"/>
          <w:sz w:val="15"/>
        </w:rPr>
        <w:t>Securities registered pursuant to Section 12(g) of the Act:</w:t>
      </w:r>
      <w:r>
        <w:rPr>
          <w:rFonts w:ascii="Times New Roman" w:hAnsi="Times New Roman"/>
          <w:color w:val="000000"/>
          <w:sz w:val="20"/>
        </w:rPr>
        <w:t xml:space="preserve"> </w:t>
      </w:r>
      <w:r>
        <w:rPr>
          <w:rFonts w:ascii="Times New Roman" w:hAnsi="Times New Roman"/>
          <w:b/>
          <w:color w:val="000000"/>
          <w:sz w:val="15"/>
        </w:rPr>
        <w:t>None</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 </w:t>
      </w:r>
    </w:p>
    <w:p>
      <w:pPr>
        <w:pStyle w:val="TextBody"/>
        <w:bidi w:val="0"/>
        <w:spacing w:before="60" w:after="283"/>
        <w:jc w:val="both"/>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15(d) of the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 </w:t>
      </w:r>
    </w:p>
    <w:p>
      <w:pPr>
        <w:pStyle w:val="TextBody"/>
        <w:bidi w:val="0"/>
        <w:spacing w:before="60" w:after="283"/>
        <w:jc w:val="both"/>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4267" w:type="dxa"/>
        <w:jc w:val="left"/>
        <w:tblInd w:w="0" w:type="dxa"/>
        <w:tblLayout w:type="fixed"/>
        <w:tblCellMar>
          <w:top w:w="28" w:type="dxa"/>
          <w:left w:w="28" w:type="dxa"/>
          <w:bottom w:w="28" w:type="dxa"/>
          <w:right w:w="28" w:type="dxa"/>
        </w:tblCellMar>
      </w:tblPr>
      <w:tblGrid>
        <w:gridCol w:w="1411"/>
        <w:gridCol w:w="146"/>
        <w:gridCol w:w="316"/>
        <w:gridCol w:w="146"/>
        <w:gridCol w:w="1741"/>
        <w:gridCol w:w="146"/>
        <w:gridCol w:w="36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both"/>
        <w:rPr>
          <w:rFonts w:ascii="Times New Roman" w:hAnsi="Times New Roman"/>
          <w:color w:val="000000"/>
          <w:sz w:val="15"/>
        </w:rPr>
      </w:pPr>
      <w:r>
        <w:rPr>
          <w:rFonts w:ascii="Times New Roman" w:hAnsi="Times New Roman"/>
          <w:color w:val="000000"/>
          <w:sz w:val="15"/>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60" w:after="283"/>
        <w:jc w:val="both"/>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5"/>
        </w:rPr>
        <w:t>The aggregate market value of the registrant’s common stock held by non-affiliates of the registrant as of the last business day of the registrant’s most recently completed second fiscal quarter, June 30, 2024, based on the last reported sale price of the registrant’s common stock of $150.62 per share was $4,870</w:t>
      </w:r>
      <w:r>
        <w:rPr>
          <w:rFonts w:ascii="Times New Roman" w:hAnsi="Times New Roman"/>
          <w:color w:val="000000"/>
          <w:sz w:val="20"/>
        </w:rPr>
        <w:t xml:space="preserve"> </w:t>
      </w:r>
      <w:r>
        <w:rPr>
          <w:rFonts w:ascii="Times New Roman" w:hAnsi="Times New Roman"/>
          <w:color w:val="000000"/>
          <w:sz w:val="15"/>
        </w:rPr>
        <w:t>million. As of January 31, 2025, the registrant had 33,662,363</w:t>
      </w:r>
      <w:r>
        <w:rPr>
          <w:rFonts w:ascii="Times New Roman" w:hAnsi="Times New Roman"/>
          <w:color w:val="000000"/>
          <w:sz w:val="20"/>
        </w:rPr>
        <w:t xml:space="preserve"> </w:t>
      </w:r>
      <w:r>
        <w:rPr>
          <w:rFonts w:ascii="Times New Roman" w:hAnsi="Times New Roman"/>
          <w:color w:val="000000"/>
          <w:sz w:val="15"/>
        </w:rPr>
        <w:t>shares of common stock, no par value per share, outstanding.</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15"/>
        </w:rPr>
      </w:pPr>
      <w:r>
        <w:rPr>
          <w:rFonts w:ascii="Times New Roman" w:hAnsi="Times New Roman"/>
          <w:color w:val="000000"/>
          <w:sz w:val="15"/>
        </w:rPr>
        <w:t>DOCUMENTS INCORPORATED BY REFERENCE</w:t>
      </w:r>
    </w:p>
    <w:p>
      <w:pPr>
        <w:pStyle w:val="TextBody"/>
        <w:bidi w:val="0"/>
        <w:spacing w:before="60" w:after="283"/>
        <w:jc w:val="both"/>
        <w:rPr>
          <w:rFonts w:ascii="Times New Roman" w:hAnsi="Times New Roman"/>
          <w:color w:val="000000"/>
          <w:sz w:val="15"/>
        </w:rPr>
      </w:pPr>
      <w:r>
        <w:rPr>
          <w:rFonts w:ascii="Times New Roman" w:hAnsi="Times New Roman"/>
          <w:color w:val="000000"/>
          <w:sz w:val="15"/>
        </w:rPr>
        <w:t>Portions of the registrant’s Definitive Proxy Statement for its 2025 Annual Meeting of Stockholders scheduled to be held on May 22, 2025, which Definitive Proxy will be filed with the Securities and Exchange Commission not later than 120 days after the registrant’s fiscal year end of December 31, 2024, are incorporated by reference into Part II and Part III of this Form 10-K.</w:t>
      </w:r>
    </w:p>
    <w:p>
      <w:pPr>
        <w:pStyle w:val="TextBody"/>
        <w:pBdr>
          <w:bottom w:val="doub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b">
              <w:r>
                <w:rPr>
                  <w:rStyle w:val="InternetLink"/>
                  <w:rFonts w:ascii="Times New Roman" w:hAnsi="Times New Roman"/>
                  <w:color w:val="0000FF"/>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c_cybersecurity">
              <w:r>
                <w:rPr>
                  <w:rStyle w:val="InternetLink"/>
                  <w:rFonts w:ascii="Times New Roman" w:hAnsi="Times New Roman"/>
                  <w:color w:val="0000FF"/>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b">
              <w:r>
                <w:rPr>
                  <w:rStyle w:val="InternetLink"/>
                  <w:rFonts w:ascii="Times New Roman" w:hAnsi="Times New Roman"/>
                  <w:color w:val="0000FF"/>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_legal_proceedings">
              <w:r>
                <w:rPr>
                  <w:rStyle w:val="InternetLink"/>
                  <w:rFonts w:ascii="Times New Roman" w:hAnsi="Times New Roman"/>
                  <w:color w:val="0000FF"/>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4_mine_safety_disclosures">
              <w:r>
                <w:rPr>
                  <w:rStyle w:val="InternetLink"/>
                  <w:rFonts w:ascii="Times New Roman" w:hAnsi="Times New Roman"/>
                  <w:color w:val="0000FF"/>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
              <w:r>
                <w:rPr>
                  <w:rStyle w:val="InternetLink"/>
                  <w:rFonts w:ascii="Times New Roman" w:hAnsi="Times New Roman"/>
                  <w:color w:val="0000FF"/>
                  <w:sz w:val="20"/>
                  <w:u w:val="single"/>
                </w:rPr>
                <w:t>Reserved</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_foreign_jurisdictions">
              <w:r>
                <w:rPr>
                  <w:rStyle w:val="InternetLink"/>
                  <w:rFonts w:ascii="Times New Roman" w:hAnsi="Times New Roman"/>
                  <w:color w:val="0000FF"/>
                  <w:sz w:val="20"/>
                  <w:u w:val="single"/>
                </w:rPr>
                <w:t>Disclosures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Principal Accounting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r>
      <w:tr>
        <w:trPr/>
        <w:tc>
          <w:tcPr>
            <w:tcW w:w="96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Annual Report on Form 10-K contains forward-looking statements, which reflect our current views with respect to, among other things, our operations and financial performance. All statements other than statements of historical facts contained in this Annual Report on Form 10-K, including statements regarding our future results of operations and financial position, business strategy and plans and our objectives for future operations, are forward-looking statements. The words “believe,” “may,” “will,” “estimate,” “continue,” “anticipate,” “intend,” “expect,” “should,” “could,” “target,” “predict,” “seek”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 and long-term business operations and objectives, and financial needs. These forward-looking statements are subject to a number of risks, uncertainties and assumptions, including those described in “Item 1A. Risk Factors” in this Annual Report on Form 10-K. Moreover, we operate in a very competitive and rapidly changing environment and new risks emerge from time to time. It is not possible for our management to predict all risks, nor can we assess the impact of all factors or the extent to which any factor, or combination of factors, may cause actual results to differ materially from those contained in, or implied by,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forward-looking statements included in this Annual Report on Form 10-K are made only as of the date of this report and should not be relied upon as predictions of future events. Factors or events that could cause our actual results to differ may emerge from time to time, and we are not able to predict all of them. We undertake no obligation to update any forward-looking statement, whether as a result of new information, future developments, or otherwise, except as may be required by applicable law. </w:t>
      </w:r>
    </w:p>
    <w:p>
      <w:pPr>
        <w:pStyle w:val="TextBody"/>
        <w:bidi w:val="0"/>
        <w:spacing w:before="240" w:after="283"/>
        <w:jc w:val="center"/>
        <w:rPr>
          <w:rFonts w:ascii="Times New Roman" w:hAnsi="Times New Roman"/>
          <w:sz w:val="20"/>
        </w:rPr>
      </w:pPr>
      <w:r>
        <w:rPr>
          <w:rFonts w:ascii="Times New Roman" w:hAnsi="Times New Roman"/>
          <w:b/>
          <w:color w:val="000000"/>
          <w:sz w:val="20"/>
        </w:rPr>
        <w:t>RISK FACTORS SUMMARY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investment in our common stock involves risks. The following risks, which are discussed more fully in “Item 1A. Risk Factors”, and all of the other information contained in this Annual Report on Form 10-K should be considered carefully before investing in our common stock. These risks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fluctuation of our financial results from quarter to quarter;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train and retain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existing and any future indebtedness, including our ability to comply with affirmative and negative covenants under our credit agreements to which we will remain subject until maturity;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that we may not be able to sustain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need to raise additional funding and our ability to obtain it on favorable terms,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use net operating losses and research and development credit carryforwards;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that we have identified a material weakness in our internal control over financial reporting, and that we may identify additional material weaknesses in the future;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our dependence on the success of the Organ Care System, or OCS</w:t>
      </w:r>
      <w:r>
        <w:rPr>
          <w:rFonts w:ascii="Times New Roman" w:hAnsi="Times New Roman"/>
          <w:color w:val="000000"/>
          <w:sz w:val="13"/>
        </w:rPr>
        <w:t>TM</w:t>
      </w:r>
      <w:r>
        <w:rPr>
          <w:rFonts w:ascii="Times New Roman" w:hAnsi="Times New Roman"/>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our ability to expand access to the OCS through our National OCS Program, or NOP</w:t>
      </w:r>
      <w:r>
        <w:rPr>
          <w:rFonts w:ascii="Times New Roman" w:hAnsi="Times New Roman"/>
          <w:color w:val="000000"/>
          <w:sz w:val="13"/>
        </w:rPr>
        <w:t>TM</w:t>
      </w:r>
      <w:r>
        <w:rPr>
          <w:rFonts w:ascii="Times New Roman" w:hAnsi="Times New Roman"/>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improve the OCS platform, including by developing the next generation of the OCS products or expanding into new 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scale our manufacturing and sterilization capabilities to meet increasing demand for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rate and degree of market acceptance of the OCS;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educate patients, surgeons, transplant centers and private and public payors on the benefits offered by the OCS;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dependence on a limited number of customers for a significant portion of our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regulatory approvals or clearances for our OCS products in the United States, the European Union and other select jurisdictions worldwide;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adequately respond to the Food and Drug Administration, or FDA, or other competent authorities, follow-up inquiries in a timely manner;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performance of our third-party suppliers and manufacturers;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use of third parties to transport donor organs and medical personnel for our NOP and our ability to maintain and grow our logistics capabilities to support our NOP to reduce dependence on third party transportation, including by means of attracting, training and retaining pilots, and the acquisition, maintenance or replacement of fixed-wing aircraft for our aviation transportation services or other acquisitions, joint ventures or strategic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Federal Aviation Administration, or FAA, or other regulatory licenses or approvals for our aircraft transportation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price increases of the components of our products and maintenance, parts and fuel for our aircraft;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or results of post-approval studies and any clinical trials for the OCS;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manufacturing, sales, marketing and clinical support capabilities and strategy;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attacks against our information technology infrastructure;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economic, political and other risks associated with our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protect, defend, maintain and enforce our intellectual property rights relating to the OCS and avoid allegations that our products or services infringe, misappropriate or otherwise violate the intellectual property rights of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pricing of the OCS, as well as the reimbursement coverage for the OCS in the United States and internationally;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developments in the United States, European Union and other jurisdictions;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and success of competing products or procedures that are or may become available;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service our 1.50% convertible senior notes, due 2028, or the Notes;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any product recalls or improper use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estimates regarding revenue, expenses and needs for additional financing.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ge5"/>
      <w:bookmarkStart w:id="3" w:name="page42"/>
      <w:bookmarkEnd w:id="2"/>
      <w:bookmarkEnd w:id="3"/>
      <w:r>
        <w:rPr>
          <w:rFonts w:ascii="Times New Roman" w:hAnsi="Times New Roman"/>
          <w:b/>
          <w:color w:val="000000"/>
          <w:sz w:val="20"/>
        </w:rPr>
        <w:t>PART I</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Except where the context otherwise requires or where otherwise indicated, the terms “TransMedics,” “we,” “us,” “our,” “our company,” “the company,” and “our business” refer to TransMedics Group, Inc. and its consolidated subsidiaries.</w:t>
      </w:r>
    </w:p>
    <w:p>
      <w:pPr>
        <w:pStyle w:val="TextBody"/>
        <w:bidi w:val="0"/>
        <w:spacing w:before="240" w:after="283"/>
        <w:jc w:val="left"/>
        <w:rPr>
          <w:rFonts w:ascii="Times New Roman" w:hAnsi="Times New Roman"/>
          <w:b/>
          <w:color w:val="000000"/>
          <w:sz w:val="20"/>
        </w:rPr>
      </w:pPr>
      <w:bookmarkStart w:id="4" w:name="item_1_business"/>
      <w:bookmarkEnd w:id="4"/>
      <w:r>
        <w:rPr>
          <w:rFonts w:ascii="Times New Roman" w:hAnsi="Times New Roman"/>
          <w:b/>
          <w:color w:val="000000"/>
          <w:sz w:val="20"/>
        </w:rPr>
        <w:t>Item 1. Business.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 medical technology company transforming organ transplant therapy for end-stage organ failure patients across multiple disease states. We developed the OCS to replace a decades-old standard of care that we believe is significantly limiting access to life-saving transplant therapy for hundreds of thousands of patients worldwide. Our innovative OCS technology replicates many aspects of the organ’s natural living and functioning environment outside of the human body. As such, the OCS represents a paradigm shift that transforms organ preservation for transplantation from a static state to a dynamic environment that enables new capabilities, including organ optimization and assessment. We have also developed our NOP, an innovative turnkey solution to provide outsourced organ procurement, OCS perfusion management and transplant logistics services, to provide transplant programs in the United States with a more efficient process to procure donor organs with the OCS. Our logistics services include aviation transportation, ground transportation, and other coordination activity. We believe the use of the OCS combined with the NOP has the potential to significantly increase the number of organ transplants and improve post-transplant outcomes.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designed the OCS to be a platform that allows us to leverage core technologies across products for multiple organs. To date, we have developed three OCS products, one for each of heart, lung and liver transplantations, making the OCS the only FDA approved, portable, multi-organ, warm perfusion technology platform. All three of our products, OCS Heart, OCS Lung and OCS Liver, have received Pre-Market Approval, or PMA, from the FDA, for both organs donated after brain death, or DBD organs, and organs donated after circulatory death, or DCD organs.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Incidence of end-stage organ failure has been rapidly rising worldwide due to demographic trends that contribute to chronic diseases. Organ transplantation is the treatment of choice for addressing end-stage organ failure due to its positive clinical outcomes and favorable health economics. However, transplant volumes have been significantly restricted by the limitations of cold storage, the standard of care for solid organ transplantation. Cold storage is a rudimentary approach to organ preservation in which a donor organ is flushed with cold pharmaceutical solutions, placed in a plastic bag on top of ice and transported in a cooler. Cold storage subjects organs to significant injury due to a lack of oxygenated blood supply, or ischemia, does not allow physicians to assess organ viability and lacks the ability to optimize an organ’s condition once it has been retrieved from the donor. Time-dependent ischemic injury has been shown to result in short- and long-term post-transplant clinical complications and, together with the inability to assess or optimize organs, contributes to the severe underutilization of donor organs. With the use of cold storage, the majority of lungs and hearts donated after brain death go unutilized, and almost no available lungs and hearts donated after circulatory death are utilized.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developed the OCS to comprehensively address the major limitations of cold storage. The OCS is a portable organ perfusion, optimization and monitoring system that utilizes our proprietary and customized technology to replicate near-physiologic conditions for donor organs outside of the human body. We designed the OCS technology platform to perfuse donor organs with warm, oxygenated, nutrient-enriched blood, while maintaining the organs in a living, functioning state; the lung is breathing, the heart is beating and the liver is producing bile. Because the OCS significantly reduces injurious ischemic time on donor organs as compared to cold storage and enables the optimization and assessment of donor organs, it has demonstrated improved clinical outcomes relative to cold storage and offers the potential to significantly improve donor organ utilization.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developed the NOP to provide additional capabilities to transplant centers for the complicated organ procurement process that often requires resources and logistics beyond a transplant center’s existing capabilities and capacity, thereby limiting the number of organs the transplant center may be able to retrieve. Our NOP provides an end-to-end service offering delivering organs from anywhere in the United States on-demand directly to transplant centers leveraging our proprietary OCS technology, trained organ procurement surgeons and clinical specialists, and specially designed and dedicated air and ground transport logistics network. Our end-to-end service offering is necessary to ensure: (i) the successful execution of procuring and delivering healthy organs; (ii) the availability of the necessary surgical and clinical resources; (iii) that the highest transportation safety standards are met; (iv) the sharing of cost efficiencies and reducing cost burden of DCD donors that do not progress to become donors; and (v) the increased access to donor organs that are historically unutilized, all of which combine to make certain that TransMedics is able to provide the highest quality of service to transplant recipients, increasing the likelihood of success in the transplant process for each individual, and ultimately increasing the number of organs transplanted each year in the United States. Since 2023, we have offered logistics services through our NOP, including aviation transportation, ground transportation, and other coordination activity that is capable of arranging procurement missions on limited notice and at various hours of the day. Our NOP provides transplant centers with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ability to utilize the OCS to procure and transplant more organs for their patients than they would otherwise be able to do without increasing their own staff.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August 2023, we acquired Summit Aviation, Inc. and Northside Property Group, LLC, or together Summit. Summit was a charter flight operator based in Bozeman, Montana. The acquisition enabled us to add aircraft transportation services to our NOP and become a comprehensive national provider of donor organ procurement and delivery in the United States. We have also acquired 21 fixed-wing aircraft to transport donor organs as part of the services offered under our NOP. We intend to acquire additional fixed-wing aircraft as we scale our fleet of aircraft to reduce our dependence on third party transportation providers.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the OCS and the NOP drive significant benefits to all stakeholders in the field of organ transplantation. For patients, we believe the OCS and the NOP provide additional access to life-saving transplants and allow for quicker recovery following transplantation. For hospitals, we believe the OCS and NOP provide a means to increase transplant volume, treat more patients, enhance provider status and improve transplant program economics. Finally, we believe the OCS and NOP provide payors with a more cost-effective treatment for end-stage organ failure and reduces exposure to significant post-transplant complication costs and extended hospital stays.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OCS products and NOP services are reimbursed in the United States through existing, standard commercial transplant billing mechanisms. The Medicare program and private payors had been providing reimbursement for the OCS Lung, OCS Heart and OCS Liver during the U.S. pivotal trials and have continued providing reimbursement for our products and services following FDA approval. We are in the process of seeking long-term reimbursement for our products outside of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corporate headquarters, manufacturing and clinical training facilities are located in Andover, Massachusetts. We also have a geographically distributed team in the United States supporting our NOP and a designated maintenance hub for our aircraft in Dallas, Texas. We have additional distribution and commercial operations in Europe. As of December 31, 2024, we had 728 employees, most of whom were full-time and located in the United States. We generated $441.5 million, $241.6 million and $93.5 million of total revenue during the years ended December 31, 2024, 2023 and 2022, respectively, representing year-over-year growth of 82.7% and 158.5% in 2024 and 2023, respectively. Our business model is characterized by a high level of recurring revenue, which is derived primarily from sales of our single-use, organ-specific disposable sets that are required for each transplant using the OCS as well as services provided to transplant centers by our NOP.</w:t>
      </w:r>
    </w:p>
    <w:p>
      <w:pPr>
        <w:pStyle w:val="TextBody"/>
        <w:bidi w:val="0"/>
        <w:spacing w:before="240" w:after="283"/>
        <w:jc w:val="left"/>
        <w:rPr>
          <w:rFonts w:ascii="Times New Roman" w:hAnsi="Times New Roman"/>
          <w:b/>
          <w:color w:val="000000"/>
          <w:sz w:val="20"/>
        </w:rPr>
      </w:pPr>
      <w:bookmarkStart w:id="5" w:name="page13"/>
      <w:bookmarkStart w:id="6" w:name="page10"/>
      <w:bookmarkStart w:id="7" w:name="page7"/>
      <w:bookmarkStart w:id="8" w:name="page9"/>
      <w:bookmarkStart w:id="9" w:name="page11"/>
      <w:bookmarkStart w:id="10" w:name="page12"/>
      <w:bookmarkStart w:id="11" w:name="page8"/>
      <w:bookmarkEnd w:id="5"/>
      <w:bookmarkEnd w:id="6"/>
      <w:bookmarkEnd w:id="7"/>
      <w:bookmarkEnd w:id="8"/>
      <w:bookmarkEnd w:id="9"/>
      <w:bookmarkEnd w:id="10"/>
      <w:bookmarkEnd w:id="11"/>
      <w:r>
        <w:rPr>
          <w:rFonts w:ascii="Times New Roman" w:hAnsi="Times New Roman"/>
          <w:b/>
          <w:color w:val="000000"/>
          <w:sz w:val="20"/>
        </w:rPr>
        <w:t>Our Competitive Strengths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the continued growth of our company will be driven by the following competitive strengths: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Only FDA approved, portable, multi-organ, warm perfusion platform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Organ Care System is the only FDA approved portable, multi-organ, warm perfusion device on the market. Portability is a critical aspect in reducing the ischemic injury to the organ before transplantation, thereby reducing post-transplant complications and allowing the utilization of more organs for transplant. The multi-organ platform allows for the standardization of use across transplant programs.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National OCS Program</w:t>
      </w:r>
    </w:p>
    <w:p>
      <w:pPr>
        <w:pStyle w:val="TextBody"/>
        <w:bidi w:val="0"/>
        <w:jc w:val="both"/>
        <w:rPr>
          <w:rFonts w:ascii="Times New Roman" w:hAnsi="Times New Roman"/>
          <w:color w:val="000000"/>
          <w:sz w:val="20"/>
        </w:rPr>
      </w:pPr>
      <w:r>
        <w:rPr>
          <w:rFonts w:ascii="Times New Roman" w:hAnsi="Times New Roman"/>
          <w:color w:val="000000"/>
          <w:sz w:val="20"/>
        </w:rPr>
        <w:t>We developed our NOP to provide transplant programs with a more efficient process to procure donor organs with the OCS. As we expect the number of transplants to increase and the procurement distance to extend, we believe the field will need alternatives to the previous model in which the recipient transplant center sends its team to the donor site for procurement. Our NOP provides a turnkey solution that leverages the technical advantage of the OCS and provides transplant centers with a more efficient way to increase their volume of transplants without significantly increasing resources.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Transportation Logistics of the NOP</w:t>
      </w:r>
    </w:p>
    <w:p>
      <w:pPr>
        <w:pStyle w:val="TextBody"/>
        <w:bidi w:val="0"/>
        <w:jc w:val="both"/>
        <w:rPr>
          <w:rFonts w:ascii="Times New Roman" w:hAnsi="Times New Roman"/>
          <w:color w:val="000000"/>
          <w:sz w:val="20"/>
        </w:rPr>
      </w:pPr>
      <w:r>
        <w:rPr>
          <w:rFonts w:ascii="Times New Roman" w:hAnsi="Times New Roman"/>
          <w:color w:val="000000"/>
          <w:sz w:val="20"/>
        </w:rPr>
        <w:t xml:space="preserve">Transporting organs, clinical staff and medical technology in the field of organ transplant is very challenging. Donor organs may become available at almost any hospital at any time. The donor organ must be retrieved and transported to allocated recipients in a timely manner while protecting the organ from ischemic injury. The donor site may not be easily accessible and the distance to travel from donor to recipient may be very long. The expansion of our NOP to provide our own transportation logistics services, including 100% owned and operated private aircraft dedicated to organ procurement, further improves the efficiency of utilizing the NOP as a complete solution for organ procurement.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Significant body of strong clinical evidence</w:t>
      </w:r>
    </w:p>
    <w:p>
      <w:pPr>
        <w:pStyle w:val="TextBody"/>
        <w:bidi w:val="0"/>
        <w:jc w:val="both"/>
        <w:rPr>
          <w:rFonts w:ascii="Times New Roman" w:hAnsi="Times New Roman"/>
          <w:color w:val="000000"/>
          <w:sz w:val="20"/>
        </w:rPr>
      </w:pPr>
      <w:r>
        <w:rPr>
          <w:rFonts w:ascii="Times New Roman" w:hAnsi="Times New Roman"/>
          <w:color w:val="000000"/>
          <w:sz w:val="20"/>
        </w:rPr>
        <w:t>In order to receive FDA approval for our PMA products, we have conducted clinical trials with large numbers of patient participants, with the results of these trials published in leading medical journals. We also continue to collect clinical data through post-market registries for all of our products and plan to continue to provide the scientific results of these registries to the clinical user community. We expect to continue to build new clinical evidence through new programs to demonstrate the clinical value of product enhancements.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Strong relationship with the clinical transplant community</w:t>
      </w:r>
    </w:p>
    <w:p>
      <w:pPr>
        <w:pStyle w:val="TextBody"/>
        <w:bidi w:val="0"/>
        <w:jc w:val="both"/>
        <w:rPr>
          <w:rFonts w:ascii="Times New Roman" w:hAnsi="Times New Roman"/>
          <w:color w:val="000000"/>
          <w:sz w:val="20"/>
        </w:rPr>
      </w:pPr>
      <w:r>
        <w:rPr>
          <w:rFonts w:ascii="Times New Roman" w:hAnsi="Times New Roman"/>
          <w:color w:val="000000"/>
          <w:sz w:val="20"/>
        </w:rPr>
        <w:t>The transplant community is highly concentrated in the leading academic medical centers around the world. We have developed strong clinical relationships with many of these centers through their participation in our clinical trials and their commercial utilization of our products and services. In addition, many transplant surgeons at our clinical trial or commercial customer locations may have moved to new centers, bringing their OCS experience with them and allowing our relationships to grow to these new centers.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color w:val="000000"/>
          <w:sz w:val="20"/>
        </w:rPr>
        <w:t xml:space="preserve">Expertise in transplant reimbursement and billing </w:t>
      </w:r>
      <w:r>
        <w:rPr>
          <w:rFonts w:ascii="Times New Roman" w:hAnsi="Times New Roman"/>
          <w:color w:val="000000"/>
          <w:sz w:val="20"/>
        </w:rPr>
        <w:br/>
        <w:t>The OCS has been reimbursed by the Centers for Medicare &amp; Medicaid Services, or CMS, and private insurers during our clinical trials and continues to be reimbursed in the commercial setting. Since our customers have been billing for reimbursement for many years, we have developed a high degree of expertise in the area of transplant reimbursement and appropriate billing of insurers. We provide advice and best practices to our customers in compliance with laws and regulations.</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b/>
          <w:color w:val="000000"/>
          <w:sz w:val="20"/>
        </w:rPr>
        <w:t xml:space="preserve">Strong research and development capabilities and comprehensive intellectual property portfolio </w:t>
      </w:r>
      <w:r>
        <w:rPr>
          <w:rFonts w:ascii="Times New Roman" w:hAnsi="Times New Roman"/>
          <w:color w:val="000000"/>
          <w:sz w:val="20"/>
        </w:rPr>
        <w:br/>
        <w:t xml:space="preserve">We have a long history and broad experience in the development of warm machine perfusion for organ preservation. During the life of our OCS technology platform we have continued to add technological and usability enhancements to our devices. In the future, we intend to develop newer versions of the technology that continue to improve the ease of use, portability, and capability of the products.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Organ Transplant Therapy Benefits and Challenges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organ transplantation is the most effective treatment for end-stage organ failure in terms of both clinical outcomes and health economics. Organ transplant provides the longest life expectancy and best quality of life compared to other therapies for end-stage organ failure. For example, the therapeutic options for end-stage heart failure include optimum medical management with pharmaceutical treatments, or OMM, mechanical support with a left ventricular assist device, or LVAD, and heart transplantation. Heart transplantation is associated with materially longer survival rates as compared to OMM and LVADs, which are either used as a bridge to transplant or as destination therapy, an alternative to transplant. These improved survival rates, in turn, result in favorable economics for transplantation on the basis of quality-adjusted life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However, organ transplant therapy faces two major challenges. First, despite the large and growing incidence of organ failure worldwide, and the significant clinical and economic benefits of organ transplantation, the number of transplants severely lags demand due to the limitations of traditional methods of organ preservation prior to transplantation. Second, a high rate of post-transplant clinical complications needs to be reduced to improve outcomes and lower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use of cold static storage for preservation of donor organs contributes to these challenges in three ways: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Subjects the donor organs to severe time-dependent ischemic injury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Cold storage deprives the organs from oxygen, resulting in time dependent injury (ischemia). This injury correlates with post-transplant complications and restricts the viable time for organ procurement and transplant, which limits the time and distance possible between donor and recipient and results in low utilization of the donor pool and limits the number of transplant procedures performed annually.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 organ optimization capability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Given the non-physiologic environment, cold storage does not allow for any therapeutic interventions to optimize the condition of the donor organs. This further limits utilization of available donor organs for transplantation and could negatively impact post-transplant outcomes. It is well demonstrated that donor organs benefit from some form of optimization to replenish depleted levels of substrates, hormones, and electrolytes that are significantly altered or used up during the donation process.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No organ viability assessment capability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cold storage, the organs are not physiologically active, nor functioning; thus, there are no means for evaluating the suitability of these organs for transplantation. This further limits utilization of available organs as donor populations worldwide are growing older and have concomitant risk factors that benefit from sophisticated diagnostic evaluation capabilities to predict whether the donor organ is suitable and safe to transplant.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Our Technology and Solution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developed the OCS to comprehensively address the major limitations of cold storage. The OCS is a portable organ perfusion, optimization and monitoring system that utilizes our proprietary and customized technology to replicate near-physiologic conditions for donor organs outside of the human body. The OCS was designed to perfuse donor organs with warm, oxygenated and nutrient-enriched blood, while maintaining the organs in a living, functioning state; the lung is breathing, the heart is beating and the liver is producing bile. As such, the OCS represents a paradigm shift that transforms organ preservation for transplantation from a static state to a dynamic environment that enables new capabilities, including organ optimization and assessment.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OCS Technology Platform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developed the OCS, the first and only FDA approved portable, multi-organ, warm perfusion platform, to leverage proprietary core technologies across multiple organs. For each OCS product, we supplement the platform with organ-specific, customized and proprietary technologies. To date, we have developed three OCS products, one for each of lung, heart and liver transplantation. We have initiated the development of the next generation multi-organ platform to improve the usability, incorporate new technology and automation, and facilitate the use of OCS in our NOP. </w:t>
      </w:r>
    </w:p>
    <w:p>
      <w:pPr>
        <w:pStyle w:val="TextBody"/>
        <w:bidi w:val="0"/>
        <w:jc w:val="both"/>
        <w:rPr/>
      </w:pPr>
      <w:r>
        <w:rPr/>
        <w:t> </w:t>
      </w:r>
    </w:p>
    <w:p>
      <w:pPr>
        <w:pStyle w:val="TextBody"/>
        <w:bidi w:val="0"/>
        <w:jc w:val="center"/>
        <w:rPr/>
      </w:pPr>
      <w:r>
        <w:rPr/>
        <w:drawing>
          <wp:inline distT="0" distB="0" distL="0" distR="0">
            <wp:extent cx="6019800" cy="2466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19800" cy="2466975"/>
                    </a:xfrm>
                    <a:prstGeom prst="rect">
                      <a:avLst/>
                    </a:prstGeom>
                  </pic:spPr>
                </pic:pic>
              </a:graphicData>
            </a:graphic>
          </wp:inline>
        </w:drawing>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OCS product consists of three primary components customized for each organ:</w:t>
      </w:r>
    </w:p>
    <w:p>
      <w:pPr>
        <w:pStyle w:val="TextBody"/>
        <w:bidi w:val="0"/>
        <w:spacing w:before="240" w:after="240"/>
        <w:jc w:val="both"/>
        <w:rPr>
          <w:color w:val="000000"/>
        </w:rPr>
      </w:pPr>
      <w:r>
        <w:rPr>
          <w:color w:val="000000"/>
        </w:rPr>
        <w:t>•</w:t>
      </w:r>
    </w:p>
    <w:p>
      <w:pPr>
        <w:pStyle w:val="TextBody"/>
        <w:bidi w:val="0"/>
        <w:spacing w:before="240" w:after="240"/>
        <w:jc w:val="both"/>
        <w:rPr/>
      </w:pPr>
      <w:r>
        <w:rPr>
          <w:rFonts w:ascii="Times New Roman" w:hAnsi="Times New Roman"/>
          <w:b/>
          <w:color w:val="000000"/>
          <w:sz w:val="20"/>
        </w:rPr>
        <w:t xml:space="preserve">OCS Console: </w:t>
      </w:r>
      <w:r>
        <w:rPr>
          <w:rFonts w:ascii="Times New Roman" w:hAnsi="Times New Roman"/>
          <w:color w:val="000000"/>
          <w:sz w:val="20"/>
        </w:rPr>
        <w:t>The OCS Console is a highly portable electromechanical medical device that houses and</w:t>
      </w:r>
      <w:r>
        <w:rPr>
          <w:color w:val="000000"/>
        </w:rPr>
        <w:t xml:space="preserve"> </w:t>
      </w:r>
      <w:r>
        <w:rPr>
          <w:rFonts w:ascii="Times New Roman" w:hAnsi="Times New Roman"/>
          <w:color w:val="000000"/>
          <w:sz w:val="20"/>
        </w:rPr>
        <w:t>controls the function of the OCS and is designed to fit in the current workflow for organ transplantation.</w:t>
      </w:r>
    </w:p>
    <w:p>
      <w:pPr>
        <w:pStyle w:val="TextBody"/>
        <w:bidi w:val="0"/>
        <w:spacing w:before="240" w:after="240"/>
        <w:jc w:val="both"/>
        <w:rPr>
          <w:color w:val="000000"/>
        </w:rPr>
      </w:pPr>
      <w:r>
        <w:rPr>
          <w:color w:val="000000"/>
        </w:rPr>
        <w:t>•</w:t>
      </w:r>
    </w:p>
    <w:p>
      <w:pPr>
        <w:pStyle w:val="TextBody"/>
        <w:bidi w:val="0"/>
        <w:spacing w:before="240" w:after="240"/>
        <w:jc w:val="both"/>
        <w:rPr/>
      </w:pPr>
      <w:r>
        <w:rPr>
          <w:rFonts w:ascii="Times New Roman" w:hAnsi="Times New Roman"/>
          <w:b/>
          <w:color w:val="000000"/>
          <w:sz w:val="20"/>
        </w:rPr>
        <w:t xml:space="preserve">OCS Perfusion Set: </w:t>
      </w:r>
      <w:r>
        <w:rPr>
          <w:rFonts w:ascii="Times New Roman" w:hAnsi="Times New Roman"/>
          <w:color w:val="000000"/>
          <w:sz w:val="20"/>
        </w:rPr>
        <w:t>The OCS Perfusion Set is a sterile, biocompatible single-use disposable set that stores the organ and circulates blood. The OCS Perfusion Set includes all accessories needed to place the organ on the system.</w:t>
      </w:r>
    </w:p>
    <w:p>
      <w:pPr>
        <w:pStyle w:val="TextBody"/>
        <w:bidi w:val="0"/>
        <w:spacing w:before="240" w:after="240"/>
        <w:jc w:val="both"/>
        <w:rPr>
          <w:color w:val="000000"/>
        </w:rPr>
      </w:pPr>
      <w:r>
        <w:rPr>
          <w:color w:val="000000"/>
        </w:rPr>
        <w:t>•</w:t>
      </w:r>
    </w:p>
    <w:p>
      <w:pPr>
        <w:pStyle w:val="TextBody"/>
        <w:bidi w:val="0"/>
        <w:spacing w:before="240" w:after="240"/>
        <w:jc w:val="both"/>
        <w:rPr/>
      </w:pPr>
      <w:r>
        <w:rPr>
          <w:rFonts w:ascii="Times New Roman" w:hAnsi="Times New Roman"/>
          <w:b/>
          <w:color w:val="000000"/>
          <w:sz w:val="20"/>
        </w:rPr>
        <w:t xml:space="preserve">OCS Solutions: </w:t>
      </w:r>
      <w:r>
        <w:rPr>
          <w:rFonts w:ascii="Times New Roman" w:hAnsi="Times New Roman"/>
          <w:color w:val="000000"/>
          <w:sz w:val="20"/>
        </w:rPr>
        <w:t>The OCS Solutions are a set of nutrient-enriched solutions used with blood to replenish depleted nutrients and hormones needed to optimize the organ’s condition outside of the human body.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OCS technology platform is equipped with the following core technologies that we designed to comprehensively address the limitations of cold storage and improve transplant outcomes:</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b/>
          <w:color w:val="000000"/>
          <w:sz w:val="20"/>
        </w:rPr>
        <w:t xml:space="preserve">proprietary pulsatile blood pump </w:t>
      </w:r>
      <w:r>
        <w:rPr>
          <w:rFonts w:ascii="Times New Roman" w:hAnsi="Times New Roman"/>
          <w:color w:val="000000"/>
          <w:sz w:val="20"/>
        </w:rPr>
        <w:t>to simulate beating heart perfusion in organs outside of the human body;</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b/>
          <w:color w:val="000000"/>
          <w:sz w:val="20"/>
        </w:rPr>
        <w:t xml:space="preserve">proprietary software-controlled titanium blood warmer </w:t>
      </w:r>
      <w:r>
        <w:rPr>
          <w:rFonts w:ascii="Times New Roman" w:hAnsi="Times New Roman"/>
          <w:color w:val="000000"/>
          <w:sz w:val="20"/>
        </w:rPr>
        <w:t>to maintain blood at body temperature while maximizing portability;</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b/>
          <w:color w:val="000000"/>
          <w:sz w:val="20"/>
        </w:rPr>
        <w:t xml:space="preserve">gas exchanger </w:t>
      </w:r>
      <w:r>
        <w:rPr>
          <w:rFonts w:ascii="Times New Roman" w:hAnsi="Times New Roman"/>
          <w:color w:val="000000"/>
          <w:sz w:val="20"/>
        </w:rPr>
        <w:t>to maintain organ oxygenation outside of the human body;</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b/>
          <w:color w:val="000000"/>
          <w:sz w:val="20"/>
        </w:rPr>
        <w:t xml:space="preserve">customized hemodynamics sensors </w:t>
      </w:r>
      <w:r>
        <w:rPr>
          <w:rFonts w:ascii="Times New Roman" w:hAnsi="Times New Roman"/>
          <w:color w:val="000000"/>
          <w:sz w:val="20"/>
        </w:rPr>
        <w:t>to monitor and assess organ function outside of the human body;</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b/>
          <w:color w:val="000000"/>
          <w:sz w:val="20"/>
        </w:rPr>
        <w:t xml:space="preserve">proprietary software-controlled, miniaturized, electromechanical system with universal power supply and hot-swappable batteries </w:t>
      </w:r>
      <w:r>
        <w:rPr>
          <w:rFonts w:ascii="Times New Roman" w:hAnsi="Times New Roman"/>
          <w:color w:val="000000"/>
          <w:sz w:val="20"/>
        </w:rPr>
        <w:t>to maximize portability and travel distance for organ procurement;</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b/>
          <w:color w:val="000000"/>
          <w:sz w:val="20"/>
        </w:rPr>
        <w:t xml:space="preserve">proprietary wireless monitor and control software </w:t>
      </w:r>
      <w:r>
        <w:rPr>
          <w:rFonts w:ascii="Times New Roman" w:hAnsi="Times New Roman"/>
          <w:color w:val="000000"/>
          <w:sz w:val="20"/>
        </w:rPr>
        <w:t>to provide an intuitive user interface for monitoring critical organ function; and</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b/>
          <w:color w:val="000000"/>
          <w:sz w:val="20"/>
        </w:rPr>
        <w:t xml:space="preserve">customized carbon fiber OCS console structure </w:t>
      </w:r>
      <w:r>
        <w:rPr>
          <w:rFonts w:ascii="Times New Roman" w:hAnsi="Times New Roman"/>
          <w:color w:val="000000"/>
          <w:sz w:val="20"/>
        </w:rPr>
        <w:t>to reduce the overall weight of the system and maximize portability.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Key Advantages of the OCS Platform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the OCS platform provides significant benefits relative to cold storage: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Significant reduction in ischemia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Decreases current time and distance limitations on organ transport while also increasing the previously limited time period for procurement during which high quality transplant outcomes can reliably be obtained. This maximizes organ utilization and enables increased access to organ transplantation, while also meaningfully improving post-transplant outcomes.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Enables organ optimization outside of the human body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Allows therapeutic optimization of donor organs from the damaging conditions of brain and circulatory death using clinically proven and safe modalities, thus significantly improving donor organ utilization and patient outcomes.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Allows for organ viability assessment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Enables diagnostic evaluation of the donor organ using currently acceptable clinical standards to evaluate the organ’s suitability for transplantation and to maximize the post-transplant outcomes.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by comprehensively addressing the three limitations of cold static storage, the use of the OCS will allow for increased utilization of donor organs and improve post-transplant outcomes.</w:t>
      </w:r>
    </w:p>
    <w:p>
      <w:pPr>
        <w:pStyle w:val="TextBody"/>
        <w:bidi w:val="0"/>
        <w:jc w:val="both"/>
        <w:rPr/>
      </w:pPr>
      <w:r>
        <w:rPr/>
        <w:t> </w:t>
      </w:r>
    </w:p>
    <w:p>
      <w:pPr>
        <w:pStyle w:val="TextBody"/>
        <w:bidi w:val="0"/>
        <w:jc w:val="both"/>
        <w:rPr>
          <w:rFonts w:ascii="Times New Roman" w:hAnsi="Times New Roman"/>
          <w:b/>
          <w:i/>
          <w:color w:val="000000"/>
          <w:sz w:val="20"/>
        </w:rPr>
      </w:pPr>
      <w:bookmarkStart w:id="12" w:name="page17"/>
      <w:bookmarkEnd w:id="12"/>
      <w:r>
        <w:rPr>
          <w:rFonts w:ascii="Times New Roman" w:hAnsi="Times New Roman"/>
          <w:b/>
          <w:i/>
          <w:color w:val="000000"/>
          <w:sz w:val="20"/>
        </w:rPr>
        <w:t>Benefits of the OCS Platform for Key Stakeholders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We believe the OCS platform provides significant benefits to key constituents across the transplant continuum.</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Value to Patients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the OCS increases patients’ access to what we believe is the best treatment option for end-stage organ failure, which results in improved quality of life and longer life expectancy. In addition, we believe improved clinical outcomes from use of the OCS will allow patients to recover more quickly following a transplant.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Value to Providers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the OCS allows providers to improve clinical outcomes and increase the number of patients who receive organ transplants. Improvements in clinical outcomes could enable providers to meet the CMS post-transplant survival metrics required for reimbursement coverage and improve the overall financial profile of their transplant programs. In addition, we believe the increase in transplant volumes enabled by the OCS will help providers achieve “Center of Excellence” designations with payors and thus drive significant revenue growth for their transplant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Value to Payors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organ transplantation is a cost-effective treatment for end-stage organ failure as it provides the longest life expectancy, and better quality of life, compared to other treatments like mechanical support or medical therapy. We believe the OCS will enable payors to benefit from these favorable health economics and limit their exposure to the high cost of severe post-transplantation complications and extended hospital stays.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Our Strategy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committed to our goal of transforming organ transplantation with our OCS platform by establishing the OCS as the standard of care for solid organ transplantation and thereby increasing the utilization of donor organs and improving clinical outcomes.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key elements of our strategy are:</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b/>
          <w:color w:val="000000"/>
          <w:sz w:val="20"/>
        </w:rPr>
        <w:t xml:space="preserve">Grow the adoption of the OCS at existing transplant center customers and expand the number of centers utilizing OCS and NOP. </w:t>
      </w:r>
      <w:r>
        <w:rPr>
          <w:rFonts w:ascii="Times New Roman" w:hAnsi="Times New Roman"/>
          <w:color w:val="000000"/>
          <w:sz w:val="20"/>
        </w:rPr>
        <w:t>We are focused on driving adoption of the OCS and NOP at leading, high</w:t>
      </w:r>
      <w:r>
        <w:rPr>
          <w:color w:val="000000"/>
        </w:rPr>
        <w:t xml:space="preserve"> </w:t>
      </w:r>
      <w:r>
        <w:rPr>
          <w:rFonts w:ascii="Times New Roman" w:hAnsi="Times New Roman"/>
          <w:color w:val="000000"/>
          <w:sz w:val="20"/>
        </w:rPr>
        <w:t xml:space="preserve">volume transplant programs as well as expanding utilization to medium and smaller centers that can utilize OCS and NOP to provide transplants to more patients. </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b/>
          <w:color w:val="000000"/>
          <w:sz w:val="20"/>
        </w:rPr>
        <w:t xml:space="preserve">Grow our NOP, a turnkey solution to provide outsourced organ procurement, OCS perfusion management and transplant logistics services, to provide transplant programs with a more efficient process to procure donor organs with the OCS. </w:t>
      </w:r>
      <w:r>
        <w:rPr>
          <w:rFonts w:ascii="Times New Roman" w:hAnsi="Times New Roman"/>
          <w:color w:val="000000"/>
          <w:sz w:val="20"/>
        </w:rPr>
        <w:t>Our NOP leverages our clinical, logistical and transportation capabilities to provide access to and use of the OCS for transplant centers throughout the United States. Since its inception in 2021, the NOP has accelerated adoption of the OCS, and we believe this program has the potential to maximize utilization of donor organs for transplantation and, by standardizing the quality of use of the OCS, deliver better clinical outcomes.</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b/>
          <w:color w:val="000000"/>
          <w:sz w:val="20"/>
        </w:rPr>
        <w:t xml:space="preserve">Develop the next generation OCS technology platform to improve user experience and facilitate our NOP. </w:t>
      </w:r>
      <w:r>
        <w:rPr>
          <w:rFonts w:ascii="Times New Roman" w:hAnsi="Times New Roman"/>
          <w:color w:val="000000"/>
          <w:sz w:val="20"/>
        </w:rPr>
        <w:t>We are developing the next generation multi-organ platform to improve the usability, incorporate new technology and automation, and facilitate the use of OCS in our NOP. In 2025, we expect the initial next generation OCS improvements in the OCS Lung and OCS Heart products to be introduced to the clinical setting through the enrollment of several new clinical trials.</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b/>
          <w:color w:val="000000"/>
          <w:sz w:val="20"/>
        </w:rPr>
        <w:t xml:space="preserve">Expand internationally by accessing national reimbursement for OCS in key European countries. </w:t>
      </w:r>
      <w:r>
        <w:rPr>
          <w:rFonts w:ascii="Times New Roman" w:hAnsi="Times New Roman"/>
          <w:color w:val="000000"/>
          <w:sz w:val="20"/>
        </w:rPr>
        <w:t>We have begun to add resources in Europe focused on commercial expansion and market access. We believe international expansion will be an additional growth driver for us in the long-term.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commercialize our products through two channels: our NOP and a direct acquisition model. Our NOP enables transplant centers to outsource the organ procurement, OCS perfusion management and transplant logistics process to our trained organ procurement surgeons, clinical specialists and transplant and logistics coordinators using our OCS products. Our offering allows the transplant center to focus their internal resources on the transplant surgery and patient care. Utilizing our NOP saves the transplant center from investing in additional resources to support higher volumes and longer distance procurements. Since the launch of the NOP, our sales of the OCS have primarily been through the NOP.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direct acquisition model is provided to transplant centers to train their own teams for organ procurement and OCS perfusion management on the OCS. Customer users are certified on the use of OCS at our training facility. Customers in the direct acquisition channel keep inventory of OCS disposables available and order replenishment as they are used. All of our international customers and a small number of our U.S. customers purchase our OCS products through the direct acquisition model.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Reimbursement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Medicare’s reimbursement for organ transplant procedures is well-established and involves two payment mechanisms. The first is the inpatient hospital prospective payment system, which reimburses the transplant hospital for operating costs incurred during the inpatient stay in which the transplant procedure is performed. The payment for this stay is determined by the Medicare Severity-Diagnosis Related Group, or MS-DRG, into which the case is assigned. The second mechanism involves a separate payment, in addition to the MS-DRG-based payment, for organ acquisition costs, which include organ preservation and transportation costs. Medicare reimburses hospitals for allowable organ acquisition costs on a reasonable cost basis. The OCS is reimbursed under this second mechanism.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Medicaid transplant recipients, reimbursement to a transplant hospital for the incurred cost of the OCS is determined based on the applicable state Medicaid program. Some states establish a global payment for the transplant and organ acquisition costs, and some states have separate payments for the inpatient stay based on the MS-DRG system and for organ acquisition costs. Private insurers typically have agreements as to how they reimburse for the transplant costs and the organ acquisition costs, which may be through a global payment for both, or a payment for the transplant and a separate mechanism for paying for organ acquisition costs. Nearly half of U.S. lung, heart and liver transplants are covered under the Medicare and Medicaid programs, with the remainder being reimbursed through private payors.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Medicare and private payors provided reimbursement for the OCS Lung, OCS Heart and OCS Liver during the U.S. pivotal trials and have provided reimbursement for the OCS Lung, OCS Heart and OCS Liver following their FDA approvals. This has established a history of billing precedent. We believe these established methods will continue to facilitate commercial reimbursement for the OCS Lung, OCS Heart and OCS Liver. Reimbursement outside of the United States follows a similar overall structure; however, reimbursement decisions are required in each individual country and may require national health systems to review and approve OCS reimbursement for each organ-specific product. Currently, there are a few areas of national reimbursement for use of OCS for transplant. Most notably, reimbursement is in place in the UK and the Netherlands for DCD heart transplant. However, most national healthcare systems do not reimburse transplant centers for the use of the OCS and additional reimbursement in international markets may require us to undertake additional clinical studies. Some international hospitals using the OCS currently pay for the OCS from their hospital budget or charitable funds. We are in the process of seeking long-term reimbursement for our OCS products in several jurisdictions.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Clinical Evidence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lead transplant surgeons at transplant centers are clinically focused and rely primarily on clinical evidence to drive changes in their practice of organ transplantation. We have developed a substantial body of global clinical evidence to support our FDA PMA approvals and PMA submissions for the OCS for lung, heart and liver transplantation. Many of these clinical trials and studies have been published in peer-reviewed clinical journals. Our clinical trials have evaluated the use of the OCS for transplantation of organs that meet the current criteria for organ transplantation, as well as organs that would otherwise go unutilized from DBD and DCD donors. We believe the results of our clinical trials across lung, heart and liver transplantation may support the potential of the OCS in improving clinical outcomes and increasing utilization of available donor organs.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results of our clinical trials are summarized in the images below.</w:t>
      </w:r>
    </w:p>
    <w:p>
      <w:pPr>
        <w:pStyle w:val="TextBody"/>
        <w:bidi w:val="0"/>
        <w:spacing w:before="240" w:after="283"/>
        <w:jc w:val="center"/>
        <w:rPr>
          <w:rFonts w:ascii="Times New Roman" w:hAnsi="Times New Roman"/>
          <w:sz w:val="20"/>
        </w:rPr>
      </w:pPr>
      <w:r>
        <w:rPr>
          <w:rFonts w:ascii="Times New Roman" w:hAnsi="Times New Roman"/>
          <w:color w:val="000000"/>
          <w:sz w:val="20"/>
        </w:rPr>
        <w:t>.</w:t>
      </w:r>
      <w:r>
        <w:rPr>
          <w:rFonts w:ascii="Times New Roman" w:hAnsi="Times New Roman"/>
          <w:sz w:val="20"/>
        </w:rPr>
        <w:drawing>
          <wp:inline distT="0" distB="0" distL="0" distR="0">
            <wp:extent cx="5953125" cy="285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53125" cy="2857500"/>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5772150" cy="2733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72150" cy="2733675"/>
                    </a:xfrm>
                    <a:prstGeom prst="rect">
                      <a:avLst/>
                    </a:prstGeom>
                  </pic:spPr>
                </pic:pic>
              </a:graphicData>
            </a:graphic>
          </wp:inline>
        </w:drawing>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rPr>
        <w:t>OCS Clinical Trial Overview Table</w:t>
      </w:r>
      <w:r>
        <w:rPr>
          <w:rFonts w:ascii="Times New Roman" w:hAnsi="Times New Roman"/>
          <w:color w:val="000000"/>
          <w:sz w:val="20"/>
        </w:rPr>
        <w:t xml:space="preserve"> </w:t>
      </w:r>
    </w:p>
    <w:p>
      <w:pPr>
        <w:pStyle w:val="TextBody"/>
        <w:bidi w:val="0"/>
        <w:spacing w:before="0" w:after="240"/>
        <w:jc w:val="center"/>
        <w:rPr/>
      </w:pPr>
      <w:r>
        <w:rPr/>
        <w:drawing>
          <wp:inline distT="0" distB="0" distL="0" distR="0">
            <wp:extent cx="6496050" cy="2343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496050" cy="2343150"/>
                    </a:xfrm>
                    <a:prstGeom prst="rect">
                      <a:avLst/>
                    </a:prstGeom>
                  </pic:spPr>
                </pic:pic>
              </a:graphicData>
            </a:graphic>
          </wp:inline>
        </w:drawing>
      </w:r>
    </w:p>
    <w:p>
      <w:pPr>
        <w:pStyle w:val="TextBody"/>
        <w:bidi w:val="0"/>
        <w:spacing w:before="24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Patents and Trade Secrets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a combination of patent, trademark, copyright, trade secret and other intellectual property laws, nondisclosure and assignment of inventions agreements and other measures to protect our intellectual property. Our patent portfolio includes patents and patent applications that we own or license from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2024, our owned and licensed patent portfolio consisted of approximately 430 issued patents and pending patent applications worldwide, including in the United States, Australia, Europe, Canada, China, Israel, New Zealand and Japan. Our owned portfolio includes patents and applications related to one or more of the OCS Lung, OCS Heart, OCS Liver and solutions. In the United States, our owned portfolio includes about 53 issued patents and 12 pending applications. Outside the United States, our owned portfolio includes about 313 issued patents and 52 pending applications. Issued patents in our portfolio are expected to expire between 2025 and 2038, excluding any potential additional patent term for patent term adjustments or patent term extensions, if applicable. If granted, the pending U.S. and foreign patent applications in our portfolio are expected to expire between 2025 and 2043, excluding any potential additional patent term for patent term adjustments or patent term extensions, if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2024, our patent portfolio relating to the OCS Lung or lung transplantation technology includes families comprised of patents and patent applications with claims that are generally directed to certain methods and systems for preserving a lung ex vivo using both perfusion and ventilation. Such patents are issued in the United States, Austria, Australia, Belgium, Brazil, Canada, China, Czech Republic, Denmark, Europe, France, Germany, Ireland, Israel, Italy, Japan, Hong Kong, Netherlands, New Zealand, Spain, Sweden, and United Kingdom, and patent applications are pending in the United States, Australia, Canada, China, Europe, Hong Kong, Israel, Japan and under the Patent Cooperation Treaty. These patents, and any patents issued from pending patent applications, are expected to expire in 2043, excluding any potential additional patent term for patent term adjustments or patent term extensions, if applicable.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2024, our patent portfolio relating to the OCS Heart or heart transplantation technology includes families comprised of patents and patent applications with claims that are generally directed to certain methods and systems for preserving a heart ex vivo. Such patents are issued in the United States, Austria, Australia, Belgium, Brazil, Canada, China, Czech Republic, Denmark, Europe, France, Germany, Hong Kong, Ireland, Israel, Italy, Japan, Netherlands, New Zealand, Spain, Sweden, and United Kingdom, and patent applications are pending in the United States, Australia, Brazil, Canada, China, Europe, Israel, Japan, and New Zealand. These patents, and any patents issued from pending patent applications, are expected to expire in 2038, excluding any potential additional patent term for patent term adjustments or patent term extensions, if applicable. We have requested patent term extension for one patent relating to the OCS Heart, U.S. Patent No. 7,651,835, which, if granted, would expire in 2032.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2024, our patent portfolio relating to the OCS Liver or liver transplantation technology includes a family of issued and pending patent applications with claims that are generally directed to certain systems, including perfusion circuits for perfusing a liver ex vivo. Such patents are issued in the United States, Austria, Australia, Belgium, Canada, China, Czech Republic, Denmark, Europe, France, Germany, Hong Kong, Ireland, Israel, Italy, Japan, Netherlands, New Zealand, Spain, Sweden, and United Kingdom, and applications are pending in the United States, Australia, Canada, Israel and Japan. This patent and any patents issued from pending patent applications are expected to expire in 2035, excluding any potential additional patent term for patent term adjustments or patent term extensions, if applicable. We have requested patent term extension for one patent relating to the OCS Liver, U.S. Patent No. 10,076,112, which, if granted, would expire in 2035.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2024, our patent portfolio relating to the OCS Solutions or other solutions for transplantation systems includes families comprised of patents and patent applications with claims that are generally directed to compositions of certain perfusion fluids. Such patents are issued in the United States, Austria, Australia, Belgium, Brazil, Canada, China, Czech Republic, Denmark, Europe, France, Germany, Hong Kong, Ireland, Israel, Italy, Japan, Netherlands, New Zealand, Spain, Sweden and United Kingdom, and patent applications are pending in the United States, Canada, China, Europe and Hong Kong. These patents, and any patents issued from pending patent applications, are expected to expire in 2035, excluding any potential additional patent term for patent term adjustments or patent term extensions, if applicable.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 of individual patents depends on the legal term for patents in the countries in which they are granted. In most countries, including the United States, the patent term is generally 20 years from the earliest filing date of a non-provisional patent application in the applicable country. We cannot assure that patents will be issued from any of our pending applications or that, if patents are issued, they will be of sufficient scope or strength to provide meaningful protection for our technology. Notwithstanding the scope of the patent protection available to us, a competitor could develop methods or devices that are not covered by our patents. Furthermore, numerous U.S. and foreign issued patents and patent applications owned by third parties exist in the fields in which we are developing products. Because patent applications can take many years to issue, there may be applications unknown to us, which applications may later result in issued patents that our existing or future products or proprietary technologies may be alleged to infringe.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has been substantial litigation regarding patent and other intellectual property rights in the medical device industry. In the future, we may need to engage in litigation to enforce patents issued or licensed to us, to protect our trade secrets or know-how, to defend against claims of infringement of the rights of others or to determine the scope and validity of the proprietary rights of others. Litigation could be costly and could divert our attention from other functions and responsibilities. Adverse determinations in litigation could subject us to significant liabilities to third parties, could require us to seek licenses from third parties and could prevent us from manufacturing, selling or using the OCS, any of which could severely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more information, see “Item 1A. Risk Factors—Risks Related to Our Intellectual Property” in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Competition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Competition in organ preservation for transplantation can be classified into two main segments: (1) cold storage and cold perfusion technologies and (2) warm perfusion technologies. In both cold storage and cold perfusion, the organs are not functioning and are metabolically inactive. The characteristics of cold storage and cold perfusion described above significantly limit donor organ utilization and are a primary driver of post-transplant complications. Supply of cold storage and cold perfusion products is fragmented with a number of companies mainly providing undifferentiated flush and perfusion solutions or temperature controlled cold storage devices.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Warm perfusion preservation for solid organ transplant is an emerging alternative designed to address the limitations of cold storage and cold perfusion. In warm perfusion, the organs are functioning and metabolically active. We are aware of only two other companies providing warm perfusion systems, OrganOx Limited and XVIVO Perfusion AB, both of which offer single-organ warm perfusion systems for the liver and lung, respectively. We also compete with other cold preservation devices in this industry, such as those from Paragonix Tecchnologies, Inc. Paragonix Technologies was acquired by Getinge in September 2024.</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that our principal competitive factors include: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strong clinical evidence from large trials demonstrating safety, effectiveness and clinical benefits;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superior technology;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NOP, including clinical service and logistics services;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regulatory approvals for broad clinical indications of use;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ease of integration into current organ procurement workflow, including system portability across all modes of transportation;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platform capabilities designed to support multiple organ transplant programs;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brand recognition among leading transplant programs worldwide;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established clinical relationships and a core of committed clinical users;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commercial reimbursement;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sophisticated clinical training and support program to users worldwide.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Research, Development and Clinical Trial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research, development and clinical trial operations function consists of a dedicated clinical trial team that has trial management, data collection and biostatistics expertise. Our product engineering function consists of multi-disciplinary engineering teams that have electrical, mechanical, systems and software engineering expertise. Our regulatory function includes a team with both U.S. and international medical device regulatory expertise and is supported by senior FDA regulatory advisors and outside legal counsel. For the years ended December 31, 2024, 2023 and 2022 our research, development and clinical trials expenses were $56.0 million, $36.1 million and $26.8 million,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team is focused on the following research, development and clinical trial activities: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developing the next generation OCS;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developing applications to expand the access and use of the data generated from the OCS;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expanding the body of clinical evidence supporting the use of the OCS platform through pre-market clinical trials, post-market registries and scientific publications;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improving incrementally the technology and manufacturing efficiency of our current platform;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conducting research to investigate new clinical applications and uses for the OCS platform.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Manufacturing and Supply Chain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design and assemble our OCS Consoles and disposable OCS Perfusion Sets at our facility in Andover, Massachusetts. We believe this facility’s capacity is sufficient to cover the next several years of forecasted demand. We utilize two assembly shifts and we have the ability to add additional shifts to the cleanroom to further increase production capacity. We manufacture our sterilized disposable OCS Perfusion Sets in an ISO class 7 cleanroom. We source many of the components for the OCS Console and OCS Perfusion Sets from third-party suppliers that are required to manufacture and test them according to our specifications. We purchase some of the components of the OCS Console and OCS Perfusion Set from single-source suppliers and, in a few cases, sole-source suppliers. We rely on third parties to sterilize our products prior to sale.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source the OCS Solutions using our proprietary formulas from third-party suppliers. Fresenius is our single-source supplier of OCS Solutions for the OCS Lung and OCS Heart. Our agreement with Fresenius for the supply of OCS Lung Solution had an original term through April 2024 and was automatically extended for an extension term through April 2026. Upon expiration of the extension term, the agreement will continue to extend for subsequent periods of 24 months each, unless terminated by either party at least 12 months prior to the end of the then-current extension term. We may also terminate this agreement with 12 months’ notice if we request that Fresenius qualifies a second manufacturing plant or qualifies a reputable third party to manufacture the OCS Lung Solution and Fresenius fails to respond to this request. Our agreement with Fresenius includes an obligation to meet certain annual minimum purchase commitments based upon rolling order forecasts that we provided to Fresenius in accordance with this agreement. Our agreement with Fresenius for the supply of OCS Heart Solution has one-year evergreen terms, terminable by either party at least 12 months prior to the end of the then-current term.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supply chain and operations team includes supply chain procurement and planning, production and test employees, sustaining engineers, manufacturing engineers and field service technicians.</w:t>
      </w:r>
    </w:p>
    <w:p>
      <w:pPr>
        <w:pStyle w:val="TextBody"/>
        <w:bidi w:val="0"/>
        <w:spacing w:before="240" w:after="283"/>
        <w:jc w:val="left"/>
        <w:rPr>
          <w:rFonts w:ascii="Times New Roman" w:hAnsi="Times New Roman"/>
          <w:sz w:val="20"/>
        </w:rPr>
      </w:pPr>
      <w:r>
        <w:rPr>
          <w:rFonts w:ascii="Times New Roman" w:hAnsi="Times New Roman"/>
          <w:b/>
          <w:color w:val="000000"/>
          <w:sz w:val="20"/>
        </w:rPr>
        <w:t>Product Regulation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OCS products and our operations are subject to extensive regulation by the FDA and other federal and state authorities in the United States, as well as comparable international authorities including, but not limited to, those in the European Union.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products are subject to regulation as medical devices under the Federal Food, Drug and Cosmetic Act, or FDCA, as implemented and enforced by the FDA. The FDA regulates the development, design, non-clinical and clinical research, manufacturing, safety, effectiveness, labeling, packaging, storage, installation, servicing, recordkeeping, premarket clearance or approval, adverse event reporting, advertising, promotion, marketing and distribution, and import and export of medical devices to ensure that medical devices distributed domestically are safe and effective for their intended uses and otherwise meet the requirements of the FDCA. </w:t>
      </w:r>
    </w:p>
    <w:p>
      <w:pPr>
        <w:pStyle w:val="TextBody"/>
        <w:bidi w:val="0"/>
        <w:spacing w:before="240" w:after="283"/>
        <w:jc w:val="both"/>
        <w:rPr>
          <w:rFonts w:ascii="Times New Roman" w:hAnsi="Times New Roman"/>
          <w:sz w:val="20"/>
        </w:rPr>
      </w:pPr>
      <w:r>
        <w:rPr>
          <w:rFonts w:ascii="Times New Roman" w:hAnsi="Times New Roman"/>
          <w:color w:val="000000"/>
          <w:sz w:val="20"/>
        </w:rPr>
        <w:t>In addition to U.S. regulations, we are subject to a variety of regulations in the European Union and other countries, governing medical devices, clinical investigations and commercial sales and distribution of our products. Regardless of whether we have or are required to obtain FDA clearance or approval for a product, we will be required to obtain the relevant authorizations/approvals before commencing clinical trials/investigations and to obtain the necessary authorizations, approvals or certifications of our products under the comparable regulatory authorities of countries outside of the United States before we can commence clinical trials/investigations or commercialize our products in those countries. In the European Union, the manufacturer of a medical device must affix a Conformité Européene mark, or CE mark, after the device in question has successfully passed a conformity assessment to establish its safety and device characteristics. The CE mark allows the device to be placed on the market anywhere in the EU and additional Member States of the European Economic Area, or EEA, (i.e</w:t>
      </w:r>
      <w:r>
        <w:rPr>
          <w:rFonts w:ascii="Times New Roman" w:hAnsi="Times New Roman"/>
          <w:i/>
          <w:color w:val="000000"/>
          <w:sz w:val="20"/>
        </w:rPr>
        <w:t>.,</w:t>
      </w:r>
      <w:r>
        <w:rPr>
          <w:rFonts w:ascii="Times New Roman" w:hAnsi="Times New Roman"/>
          <w:color w:val="000000"/>
          <w:sz w:val="20"/>
        </w:rPr>
        <w:t xml:space="preserve"> Norway, Lichtenstein and Iceland). The CE mark is also recognized in Turkey and, for a limited transitional period following the UK’s withdrawal from the European Union, referred to as Brexit, in the United Kingdom.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authorization/approval processes for devices outside the European Union will vary from country to country and the time may be longer or shorter than that required for FDA clearance or approval or CE marking.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FDA Premarket Clearance and Approval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Unless an exemption applies, each medical device commercially distributed in the United States requires either FDA clearance of a 510(k) premarket notification, approval of a PMA or issuance of a de novo classification order. Under the FDCA, medical devices are classified into one of three classes—Class I, Class II or Class III—depending on the degree of risk associated with each medical device and the extent and regulatory controls needed to ensure its safety and effectiveness. Class I includes devices with the lowest risk to the patient and/or the user and are those for which safety and effectiveness can be reasonably assured by adherence to the FDA’s general controls for medical devices, which include compliance with the applicable portions of the Quality System Regulation, or QSR, facility registration and product listing, reporting of adverse medical events and device malfunctions,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 While most Class I devices are exempt from the 510(k) premarket notification requirement, manufacturers of most Class II devices are required to submit to the FDA a premarket notification under Section 510(k) of the FDCA requesting a substantial equivalence determination that provides permission to commercially distribute the device. The FDA’s permission to commercially distribute a device subject to a 510(k) premarket notification is generally known as 510(k) clearance. Under the 510(k) process, the manufacturer must submit to the FDA a premarket notification demonstrating that the device is “substantially equivalent” to either a device that was legally marketed prior to May 28, 1976, the date upon which the Medical Device Amendments of 1976 were enacted, or a device that was reclassified from Class III to Class II or I, or another commercially available device that was cleared through the 510(k) process or that was granted marketing authorization through the de novo classification process under section 513(f)(2) of the FDCA, or a 510(k) exempt device. We received 510(k) clearance for the OCS Lung Solution for cold flush, storage and transportation of donor lungs in July 2021, for the OCS Lung Donor Flush Set in November 2022, and for the OCS Heart Leukocyte Reducing Filter in October 2023.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Devices deemed by the FDA to pose the greatest risks, such as life-sustaining, life-supporting and many implantable devices, or devices that have been found not substantially equivalent to a legally marketed Class I or Class II predicate device, are placed in Class III, requiring approval of a PMA.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of our OCS warm perfusion products is a Class III device. We have received a PMA for each of the following: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OCS Lung for the preservation of standard criteria donor lungs for double-lung transplantation;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OCS Lung for the preservation of donor lungs initially deemed unsuitable due to limitations of cold storage for double-lung transplantation;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OCS Heart for the preservation of DBD donor hearts deemed unsuitable due to limitations of cold storage (e.g. &gt;4 hours of cross-clamp time);</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0"/>
        </w:rPr>
        <w:t xml:space="preserve">OCS Heart for the </w:t>
      </w:r>
      <w:r>
        <w:rPr>
          <w:rFonts w:ascii="Times New Roman" w:hAnsi="Times New Roman"/>
          <w:i/>
          <w:color w:val="000000"/>
          <w:sz w:val="20"/>
        </w:rPr>
        <w:t>ex vivo</w:t>
      </w:r>
      <w:r>
        <w:rPr>
          <w:color w:val="000000"/>
        </w:rPr>
        <w:t xml:space="preserve"> </w:t>
      </w:r>
      <w:r>
        <w:rPr>
          <w:rFonts w:ascii="Times New Roman" w:hAnsi="Times New Roman"/>
          <w:color w:val="000000"/>
          <w:sz w:val="20"/>
        </w:rPr>
        <w:t>reanimation, functional monitoring, and beating-heart preservation of donation-after-circulatory-death (DCD) hearts;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OCS Liver for the preservation of DBD and DCD donor livers &lt; 55 years old, macrosteatosis &lt; 15% and with &lt; 30 minutes of warm ischemia time.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PMA Pathway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Class III devices require an approved PMA before they can be marketed.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 full description of the methods, facilities and controls used for manufacturing, and proposed labeling. If the FDA accepts the application for review, it has 180 days under the FDCA to complete its review of a PMA, although in practice, the FDA’s review generally takes one year, or even longer, from the time the PMA application is submitted to the FDA until an approval is obtained. An advisory committee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manufacturing facility or facilities to ensure compliance with the QSR and, in some cases, will audit the applicant and clinical sites as part of its Bioresearch Monitoring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PMA review, the FDA assesses whether the data and information in the PMA constitute valid scientific evidence to support a determination that there is a reasonable assurance that the device is safe and effective for its intended use(s) based on the proposed labeling.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a PMA or requirements to conduct additional clinical studies post-approval. The FDA may condition a PMA approval on some form of post-market surveillance when deemed necessary to protect the public health or to provide additional safety and effectiveness data for the device in a larger population or for a longer period of use. Failure to comply with the conditions of approval can result in material adverse enforcement action, including withdrawal of the approval. Certain changes to an approved device, such as changes in manufacturing facilities, methods, or quality control procedures, or changes in the design or performance specifications, which affect the safety or effectiveness of the device, require submission and approval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committee. Certain other changes to an approved device require the submission and approval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Clinical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Clinical trials are almost always required to support a PMA application and may be necessary to support PMA supplements for additional indications or modified versions of a marketed device product. All clinical investigations of investigational devices to determine safety and effectiveness must be conducted in accordance with the FDA’s investigational device exemption, or IDE, regulations that govern investigational device labeling, prohibit promotion of the investigational device, and specify an array of study review and approval, informed consent,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To be approved, an IDE application must be supported by appropriate data, such as animal and laboratory test results, showing that it is safe to test the device in humans and that the testing protocol is scientifically sound. If the FDA determines that there are deficiencies or other concerns with an IDE for which it requires modification, the FDA may permit a clinical trial to proceed under a conditional approval. Acceptance of an IDE application for review does not guarantee that the FDA will allow the IDE to become effective and, if it does become effective, the FDA may or may not determine that the data derived from the trials support the safety and effectiveness of the device to support marketing approval or clearance, or to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 Non-significant risk device studies do not require submission of an IDE application to FDA.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States, the study must be approved by, and conducted under the oversight of, an Institutional Review Board, or IRB. The IRB is responsible for the initial and continuing review of the study and may pose additional requirements for the conduct of the study.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After a trial begins, we, the FDA or the IRB could suspend or terminate a clinical trial at any time for various reasons, including a belief that the risks to study subjects outweigh the anticipated benefits or protocol violations.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Post-market Regulation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After a device is cleared or approved for marketing, numerous and pervasive regulatory requirements continue to apply. These include: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establishment registration and device listing with the FDA;</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QSR requirements, which require manufacturers, including third-party manufacturers, to follow stringent design, testing, control, documentation and other quality assurance procedures during all aspects of the design and manufacturing process;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labeling and marketing regulations, which require that promotion is truthful, not misleading, fairly balanced and provide adequate directions for use and that all claims are substantiated, and also prohibit the promotion of products for unapproved or “off-label” uses and impose other restrictions on labeling;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approval of a PMA supplement for certain modifications to PMA-approved devices that affect the safety or effectiveness of the device, or clearance of a new 510(k) premarket notification for modifications to 510(k) cleared devices that could significantly affect safety or effectiveness or that would constitute a major change in intended use of the device;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medical device reporting regulations, which require that a manufacturer report to the FDA information that reasonably suggests a device it markets may have caused or contributed to a death or serious injury, or has malfunctioned and the device or a similar device that it markets would be likely to cause or contribute to a death or serious injury, if the malfunction were to recur;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correction and removal reporting regulations, which require that manufacturers report to the FDA field corrections and product removals if undertaken to reduce a risk to health posed by the device or to remedy a violation of the FDCA that may present a risk to health;</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complying with the federal law and regulations requiring Unique Device Identifiers on devices and also requiring the submission of certain information about each device to the FDA’s Global Unique Device Identification Database;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FDA’s recall authority, whereby the agency can order device manufacturers to recall from the market a product that is in violation of governing laws and regulations if the FDA finds that there is a reasonable probability that the device would cause serious, adverse health consequences or death;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post-market surveillance activities and regulations, which apply when deemed by the FDA to be necessary to protect the public health or to provide additional safety and effectiveness data for the device.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record, device history file, and complaint files. By February 2, 2026, we are required to transition to the Quality Management System Regulation, or QMSR, that FDA issued in 2024 and that incorporates by reference the international standard specific for medical device quality management systems set by the International Organization for Standardization ISO 13485:2016.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manufacturer, our facilities, records and manufacturing processes are subject to periodic scheduled or unscheduled inspections by the FDA. Our failure to maintain compliance with the QSR or other applicable regulatory requirements could result in the shutdown of, or restrictions on, our manufacturing operations and the recall or seizure of our products.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warning letters, untitled letters, fines, injunctions, consent decrees and civil penalties;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recalls, withdrawals, or administrative detention or seizure of our products;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operating restrictions or partial suspension or total shutdown of production;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refusing or delaying requests for approvals of PMAs of new products or modified products;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withdrawing a PMA approval that has already been granted;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refusal to grant export permits or certificates for our products; 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criminal prosecution.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Regulation of Medical Devices in the European Union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European Union, our products are regulated as medical devices. Regulation of medical devices in the European Union is harmonized through Regulation (EU) 2017/745, or the MDR, which repealed and replaced Directive 93/42/EEC on medical devices, or the MDD, with effect from May 26, 2021.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national competent authorities in each member state oversee and enforce compliance with the standards set out in the MDR against relevant economic operators (including device manufacturers, importers, authorized representatives and distributors). Under the MDR, national competent authorities can inform other national competent authorities, the European Commission and Notified Bodies, as applicable, of certain non-compliances.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Under the MDR, a medical device placed on the market in the European Union must meet the applicable General Safety and Performance Requirements, or GSPRs, laid down in Annex I of the MDR. Similar to the U.S. system, medical devices are classified into one of four classes based on risk: I, IIa, IIb and III, with class I representing the lowest risk products and class III the highest risk products. One of the most fundamental GSPRs is that a medical device must be designed and manufactured in such a way that it will not compromise the clinical condition or safety of patients, or the safety and health of users and others (provided that any risks posed are acceptable when weighted against the benefits). In addition, the GSPRs include (but are not limited to) that the device must achieve the performances intended by the manufacturer, be designed, manufactured and packaged in a suitable manner and the manufacturer must establish, implement, document and maintain a risk management plan. The European Commission has adopted various standards applicable to medical devices, referred to as harmonized standards. While not mandatory, compliance with these harmonized standards is often viewed as the easiest way to satisfy the GSPRs as a practical matter. Compliance with a harmonized standard developed to implement a GSPR also creates a rebuttable presumption that the device satisfies that essential requirement. To date, the European Commission has harmonized a limited number of standards, including, for example, standards of sterilization, biological evaluation, the quality management system, </w:t>
      </w:r>
      <w:r>
        <w:rPr>
          <w:rFonts w:ascii="Times New Roman" w:hAnsi="Times New Roman"/>
          <w:i/>
          <w:color w:val="000000"/>
          <w:sz w:val="20"/>
        </w:rPr>
        <w:t>etc.</w:t>
      </w:r>
      <w:r>
        <w:rPr>
          <w:rFonts w:ascii="Times New Roman" w:hAnsi="Times New Roman"/>
          <w:color w:val="000000"/>
          <w:sz w:val="20"/>
        </w:rPr>
        <w:t xml:space="preserve"> but will continue to harmonize more standards going forward.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demonstrate compliance with the GSPRs, medical device manufacturers must undergo a conformity assessment procedure, the specifics of which vary according to the type of medical device and its classification. Conformity assessment procedures involve an assessment of available clinical evidence, literature data for the product and post-market experience in respect of similar products already marketed.</w:t>
      </w:r>
    </w:p>
    <w:p>
      <w:pPr>
        <w:pStyle w:val="TextBody"/>
        <w:bidi w:val="0"/>
        <w:spacing w:before="240" w:after="283"/>
        <w:jc w:val="both"/>
        <w:rPr>
          <w:rFonts w:ascii="Times New Roman" w:hAnsi="Times New Roman"/>
          <w:sz w:val="20"/>
        </w:rPr>
      </w:pPr>
      <w:r>
        <w:rPr>
          <w:rFonts w:ascii="Times New Roman" w:hAnsi="Times New Roman"/>
          <w:color w:val="000000"/>
          <w:sz w:val="20"/>
        </w:rPr>
        <w:t>For all medical devices other than low risk devices (</w:t>
      </w:r>
      <w:r>
        <w:rPr>
          <w:rFonts w:ascii="Times New Roman" w:hAnsi="Times New Roman"/>
          <w:i/>
          <w:color w:val="000000"/>
          <w:sz w:val="20"/>
        </w:rPr>
        <w:t>i.e.</w:t>
      </w:r>
      <w:r>
        <w:rPr>
          <w:rFonts w:ascii="Times New Roman" w:hAnsi="Times New Roman"/>
          <w:color w:val="000000"/>
          <w:sz w:val="20"/>
        </w:rPr>
        <w:t>, Class I non-sterile, non-measuring devices), a conformity assessment procedure requires the intervention of a notified body. Notified bodies are independent organizations which audit and examine a product’s technical dossier and the manufacturer's quality system. If satisfied that the relevant medical device conforms to the relevant GSPRs, the notified body issues a certificate of conformity, which the manufacturer uses as a basis for its own declaration of conformity. The manufacturer may then affix the CE mark to the device, which allows the device to be placed on the market throughout the European Union (and by extension the European Economic Area). Once the device has been placed on the market in the European Union, the manufacturer must comply with requirements for reporting incidents and field safety corrective actions associated with its use. The notified body has ongoing audit rights and must be notified of all significant changes to the device.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of our medical devices that were previously certified under the MDD, including OCS Heart, OCS Lung, and OCS Liver systems, which includes the OCS Console, the OCS disposables, and the OCS solution additives, have been recertified under the MDR.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Clinical Investigations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Clinical evidence is required for the conformity assessment of most medium and high risk devices. In some cases, a clinical investigation may be required to support the CE marking of a device. All clinical investigations involving medical devices must comply with the relevant requirements of the MDR, EU member state requirements, and current good clinical practices defined in harmonized standards and guidance documents. Clinical investigations for medical devices cannot proceed without a positive opinion of an ethics committee and notification to the relevant national competent authorities. Both national competent authorities and ethics committees also require the submission of serious adverse event reports during a study and may request a copy of the final study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Post-marketing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European Union, we are currently required to comply with strict post-marketing obligations. These include obligations to have in place quality management, post-market surveillance and vigilance systems. These requirements include that the manufacturer must report to the relevant national competent authorities any serious incident involving devices made available on the market and any field safety corrective action in respect of devices made available on the market or undertaken in a third country in relation to a device made available on the market. Additionally, the manufacturer of high risk devices must submit periodic safety update reports to its notified body and manufacturers of lower risk devices must maintain periodic safety update reports as part of the technical documentation for their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National competent authorities in the European Union also closely monitor the marketing programs implemented by device companies. The MDR prohibits making misleading claims, including promoting the product for or suggesting a use that is not part of its intended purpose. However, the obligations that companies must fulfill concerning premarketing approval of promotional material vary among member states of the European Union as beyond that requirement, advertising and promotion law for medical devices is not harmonized in the European Union.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Regulations Applicable to Transport of Organs Intended for Transplantation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European Union, Directive 2010/53/EU sets out certain standards which the EU member states should apply in respect of procurement, preservation and transport of organs intended for transplantation. While we are not directly affected by this directive, our EU customers are, and our products may either help or impede their compliance with this Directive.</w:t>
      </w:r>
    </w:p>
    <w:p>
      <w:pPr>
        <w:pStyle w:val="TextBody"/>
        <w:bidi w:val="0"/>
        <w:spacing w:before="240" w:after="283"/>
        <w:jc w:val="both"/>
        <w:rPr>
          <w:rFonts w:ascii="Times New Roman" w:hAnsi="Times New Roman"/>
          <w:sz w:val="20"/>
        </w:rPr>
      </w:pPr>
      <w:r>
        <w:rPr>
          <w:rFonts w:ascii="Times New Roman" w:hAnsi="Times New Roman"/>
          <w:b/>
          <w:color w:val="000000"/>
          <w:sz w:val="20"/>
        </w:rPr>
        <w:t>Regulation of Medical Devices in the United Kingdom</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Medicines and Healthcare products Regulatory Agency, or the MHRA, is responsible for regulating the UK medical devices market. The MHRA performs market surveillance of medical devices on the UK market and is able to take decisions over the marketing and supply of devices in the UK. The MHRA is also responsible for the designation and monitoring of UK approved bodies (the equivalent of EU notified bodies).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May 26, 2021, the MDR has applied throughout EU and Northern Ireland. As the MDR took effect after the UK left the European Union, it was not retained and therefore does not apply in Great Britain (England, Wales and Scotland).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Kingdom medical devices are regulated under the Medical Devices Regulations 2002 (SI 2002 No 618, as amended), or the UK MDR, which give effect to the MDD and associated EU legislation which has since been repealed and replaced in the European Union by the MDR.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means that the route to market of medical devices in Great Britain is based on the requirements derived from pre-existing directly applicable EU legislation prior to the UK’s exit from the EU. Despite the MDR not applying in Great Britain, the UK MDR provides a transitional period that allows manufacturers to place devices CE marked under the MDR (including their relevant transition periods), on the market in Great Britain potentially up until June 30, 2030, depending on the class of device.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January 1, 2021 (when the Brexit transition period ended), there have been a number of changes, introduced through secondary legislation, on how medical devices are placed on the market in Great Britain (England, Wales and Scotland). These include: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new route to market and product marking (the UKCA marking) is available for manufacturers wishing to place medical devices on the Great Britain market;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medical devices, including in vitro diagnostic medical devices, or IVDs, custom-made devices and systems or procedure packs, need to be registered with the MHRA before they are placed on the Great Britain market;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medical device manufacturers based outside the UK who wish to place a device on the Great Britain market need to appoint a single UK Responsible Person for all devices who will act on their behalf to carry out specified tasks, such as registration. We have appointed a UK Responsible Person for our devices in the UK;</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EU no longer recognizes UK Notified Bodies and UK Notified Bodies are not able to issue CE certificates. (Following Brexit, certificates issued by our UK notified body (BSI UK) were no longer recognized for CE marking purposes. BSI Netherlands thus reissued the certificates that allow CE marking of the OCS products);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UK Notified Bodies can apply to be designated as UK Approved Bodies. UK Approved Bodies can issue UKCA marking certificates.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UK Government recently proposed new post-market surveillance legislation and is currently consulting on proposed changes to pre-market medical device regulation under the UK MDR 2002.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Clinical Investigations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order to demonstrate compliance with the essential requirements of the UK MDR and the GSPRs of the MDR, and in order to justify the application of UKCA/CE/CE UKNI marking, it will sometimes be necessary for the manufacturer of the device to provide clinical data with which to substantiate claims made for that device. This may involve the need for a specifically designed clinical investigation to: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verify that under normal conditions of use the performance characteristics of the device are those intended by the manufacturer;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determine any undesirable side-effects and to assess whether these are acceptable risks when weighed against the intended performance of the device.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such an investigation is necessary, and will be conducted in the UK, the manufacturer must submit a notification to the MHRA before the investigation is due to begin, and such a clinical investigation may only proceed provided no grounds for objection are raised by the MHRA within the statutory review time constraint. The manufacturer must also obtain ethics committee approval for the investigation.</w:t>
      </w:r>
    </w:p>
    <w:p>
      <w:pPr>
        <w:pStyle w:val="TextBody"/>
        <w:bidi w:val="0"/>
        <w:spacing w:before="240" w:after="283"/>
        <w:jc w:val="both"/>
        <w:rPr>
          <w:rFonts w:ascii="Times New Roman" w:hAnsi="Times New Roman"/>
          <w:sz w:val="20"/>
        </w:rPr>
      </w:pPr>
      <w:r>
        <w:rPr>
          <w:rFonts w:ascii="Times New Roman" w:hAnsi="Times New Roman"/>
          <w:b/>
          <w:i/>
          <w:color w:val="000000"/>
          <w:sz w:val="20"/>
        </w:rPr>
        <w:t>Post-marketing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Once a medical device has been placed on the UK market, the manufacturer is required to submit vigilance reports to the MHRA when certain incidents occur in the UK that involve their device. They must also take appropriate safety action when required. The manufacturer must also ensure their device meets appropriate standards of safety and performance for as long as it is in use. The advertising and marketing of medical devices is governed in the UK by both legislation and self-regulatory codes of practice.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 MHRA Enforcement of Medical Device Regulations in the UK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ensure that medical devices placed on the market and put into service in the UK meet applicable regulatory requirements the MHRA will: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conduct risk-based assessments of all allegations of non-compliance brought to their attention;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monitor the activity of UK Approved Bodies designated by MHRA to assess the compliance of manufacturers;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investigate medical devices as a result of adverse incident reports or intelligence indicating a potential problem.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MHRA considers that a person or company has committed a serious offense by failing to comply with applicable regulations or the conditions of a notice issued then a person/company may be subject to prosecution.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UK Regulations Applicable to Organs Intended for Transplantation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standards for the quality and safety of organs for transplantation has been enacted into UK law through The Quality and Safety of Organs Intended for Transplantation Regulations 2012, as amended. This Regulation provided for the establishment of a competent authority for the regulation of organ transplantation, the Human Tissue Authority, or the HTA. The HTA has published the “The Quality and Safety of Organs Intended for Transplantation: a documentary framework” which details mandatory requirements as well as guidance on how those requirements may be met. While we are not directly affected by this regulation and guideline, our UK customers are, and our products may either help or impede their compliance with this regulation.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Regulation in Other Countries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subject to regulations and product registration requirements in many foreign countries in which we may sell our products, including in the areas of:</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 development, manufacturing and testing (including with respect to significant changes to the products);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standards;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safety;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safety reporting;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marketing, sales and distribution;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packaging and storage requirements;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labeling requirements;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content and language of instructions for use;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clinical trials/investigations;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record keeping procedures;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advertising and promotion;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recalls and field corrective actions;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post-market surveillance, including reporting of deaths or serious injuries and malfunctions that, if they were to recur, could lead to death or serious injury;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import and export restrictions;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tariff regulations, duties and tax requirements;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registration for reimbursement, agreement of prices with government;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necessity of testing performed in country by distributors for licensees.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time required to obtain marketing authorization in foreign countries may be longer or shorter than that for FDA approval or clearance, and requirements for licensing a product in a foreign country may differ significantly from FDA requirements. We received a Class II Medical Device License from Health Canada for our OCS Liver combined with our solution additives in October 2023 to complement our existing Health Canada licenses for OCS Heart and OCS Lung.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Adverse events and potential adverse events are monitored closely by regulatory authorities. For example, if, as a result of manufacturing error, the efficacy of our products does not meet the standards claimed in the accompanying instructions for use, regulatory authorities could prevent our products from being placed on the market.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Internationally, the regulatory requirements relating to product defects may vary. A regulatory authority in a specific country may request or require a product recall while others may not.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Federal, State and Foreign Fraud and Abuse and Physician Payment Transparency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FDA restrictions on marketing and promotion of drugs and devices, other federal, state, international laws, as well as laws with extra-territorial effect and market practices restrict our business practices. These laws include, without limitation, U.S. and foreign laws intended to prohibit or otherwise regulate activities that might result in fraud, abuse and bribery.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U.S.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U.S. federal healthcare fraud and abuse laws generally apply to our activities because our products are covered under federal healthcare programs such as Medicare and Medicaid. The principal U.S. federal healthcare fraud and abuse laws applicable to us and our activities include: (1) the Anti-Kickback Statute, which prohibits the knowing and willful offer, solicitation, payment or receipt of anything of value in order to generate business reimbursable by a federal healthcare program; (2) the False Claims Act, which prohibits the submission of false or otherwise improper claims for payment to a federally-funded healthcare program, including claims resulting from a violation of the Anti-Kickback Statute; and (3) healthcare fraud statutes that prohibit false statements and improper claims to any third-party payor. There are also similar state anti-kickback and false claims laws that apply to activities involving state-funded Medicaid and other healthcare programs as well as to private third-party payers.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Anti-Kickback Statute is particularly relevant because of its broad applicability. Specifically, the Anti-Kickback Statute prohibits persons from knowingly and willfully soliciting, offering, receiving, or providing remuneration, directly or indirectly, in exchange for, or to induce, either the referral of an individual, or the furnishing, arranging for or recommending a good or service for which payment may be made in whole or part under federal healthcare programs, such as the Medicare and Medicaid programs. Almost any financial interaction with a healthcare provider, patient or customer will implicate the Anti-Kickback Statute. Statutory exceptions and regulatory safe harbors protect certain interactions if specific requirements are met. Only those interactions that represent fair market value exchanges, however, are generally protected by an exception or safe harbor. The government can exercise enforcement discretion in taking action against unprotected activities. Many interactions in which we commonly engage, such as the provision of business courtesies to healthcare practitioners, could implicate the Anti-Kickback Statute and may not be protected by an exception or safe harbor. If the government determines that these activities are abusive, we could be subject to enforcement action. Penalties for Anti-Kickback Statute violations may include both criminal penalties such as imprisonment and civil sanctions such as fines and possible exclusion from Medicare, Medicaid, and other federal healthcare programs. Exclusion would mean that our products were no longer eligible for reimbursement under federal healthcare programs.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Laws and regulations have also been enacted by the federal government and various states to regulate the sales and marketing practices of medical device and pharmaceutical manufacturers. The laws and regulations generally limit financial interactions between manufacturers and healthcare providers; require pharmaceutical and medical device companies to comply with voluntary compliance standards issued by industry associations and the relevant compliance guidance promulgated by the U.S. federal government; and/or require disclosure to the government and/or public of financial interactions, so-called “sunshine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healthcare laws and regulations applicable to us, including those described above, contain ambiguous requirements and are subject to evolving interpretations and enforcement discretion. Manufacturers must adopt reasonable interpretations of requirements if there is ambiguity and those interpretations could be challenged. If a governmental authority were to conclude that we are not in compliance with applicable laws and regulations, we and our officers and employees could be subject to severe criminal and civil financial penalties, including, for example, exclusion from participation as a supplier of product to beneficiaries covered by Medicare or Medicaid. Any failure to comply with laws and regulations relating to reimbursement and healthcare goods and services could adversely affect our reputation, business, financial condition and cash flows.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International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foreign countries have similar laws relating to healthcare fraud and abuse. Foreign laws and regulations may vary greatly from country to country. For example, the advertising and promotion of our products is subject to EU Directives concerning misleading and comparative advertising and unfair commercial practices, as well as other EU member state legislation governing the advertising and promotion of medical devices. Sometimes the relevant rules are found in industry guidance rather than legislation—for example, relationships with healthcare professionals in the UK are governed by the code of Association of British HealthTech Industries, or ABHI, and rules may limit or restrict the advertising and promotion of our products to the general public and impose limitations on our promotional activities with healthcare professionals.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European Union the consequences for failing to comply with advertising and promotional laws might lead to reputational damage, fines, exclusions from public tenders and actions for damages from competitors for unfair competition.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Laws with Extra-territorial Effect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countries in which we operate have laws with extra-territorial effect—those laws apply to our operations outside the relevant country, to the extent they are breached. Examples of such laws include the Foreign Corrupt Practices Act, or the FCPA, the UK Bribery Act 2010 and the General Data Protection Regulation, or the GDPR.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extra-territorial effect of those laws affects our sales and marketing strategy, since in many countries healthcare professionals are officers of the state. This is particularly important in the context of bribery offenses, which in the UK and in the United States include the offense of bribing a foreign public official.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Data Privacy and Security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and in the future may become, subject to various U.S. federal and state as well as foreign laws that protect the confidentiality of certain patient health information, including patient medical records, and restrict the use and disclosure of patient health information by healthcare providers.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Health Insurance Portability and Accountability Act of 1996, or HIPAA, governs the conduct of certain electronic healthcare transactions and requires certain entities, called covered entities, to handle and protect, among other things, the privacy and security of protected health information, or PHI, in certain ways. HIPAA also requires business associates to enter into business associate agreements with covered entities and to safeguard a covered entity’s PHI against improper use and disclosure.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HIPAA privacy regulations cover the use and disclosure of PHI by covered entities as well as business associates, which are defined to include subcontractors that create, receive, maintain, or transmit PHI on behalf of a business associate. These regulations also set forth certain rights that an individual may have with respect to his or her PHI maintained by a covered entity, including the right to access or amend certain records containing PHI, or to request restrictions on the use or disclosure of PHI. HIPAA security regulations set forth requirements for safeguarding the confidentiality, integrity, and availability of protected health information that is electronically transmitted or electronically stored. The Health Information Technology for Economic and Clinical Health Act, among other things, provides certain health information security breach notification requirements. Under these laws, the covered entity must notify any individual whose PHI is breached as required under the breach notification rule. Although we believe that we currently are neither a “covered entity” nor a “business associate” directly under HIPAA, a business associate relationship may be imputed from facts and circumstances even in the absence of an actual business associate agreement. In addition, HIPAA may affect our interactions with customers who are covered entities or their business associates.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HIPAA privacy and security regulations establish a uniform federal “floor” and do not supersede state laws that are more stringent or provide individuals with greater rights with respect to the privacy or security of, and access to, their health and other personal information. States are increasingly regulating the privacy and security of individually identifiable information, including financial information and health information. For example, the California Consumer Privacy Act, or CCPA, gives California residents certain rights, including the right to ask covered companies to disclose the types of personal information collected and delete a consumer’s personal information, and imposes several obligations on covered companies to provide notice to California consumers regarding their data processing activities and limitations on covered companies’ ability to sell personal information. These protections have been expanded by California Privacy Rights Act of 2020, or CPRA, along with new privacy laws in Virginia, Colorado and several other states. We expect additional federal and state legislative and regulatory efforts to regulate consumer privacy in the future. Some states have also passed further protections focused on data protection for health information, including the Washington My Health My Data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EEA, as well as in the United Kingdom, or the UK, -post-Brexit, we may be subject to laws relating to our collection, control, processing and other use of personal data, such as data relating to an identified or identifiable living individual. Following Brexit, the UK has substantively retained the same privacy rules as it had when a member of the European Union. We process personal data in relation to our operations. We process data of both our employees and our customers, including health and medical information. The data privacy regime in the EEA includes the GDPR, regarding the processing of personal data and the free movement of such data, which became applicable on May 25, 2018, the E-Privacy Directive 2002/58/EC and national laws implementing or supplementing each of them. Each EU member state has transposed the requirements laid down by the E-Privacy Directive into its own national data privacy regime and therefore the laws may differ by jurisdiction, sometimes significantly. The GDPR was retained post-Brexit in the UK as the UK GDPR. In addition, many EEA member states have passed legislation addressing areas where the GDPR permits member states to derogate from the regulation’s requirements, thus leading to divergent requirements between member states in spite of the GDPR’s stated goal of creating a uniform privacy law for the entire EEA. The UK has done the same. We need to ensure compliance with the rules in each jurisdiction where we are established. Even if not established in the EEA (or the UK), we may otherwise be subject to local privacy laws in those regions. For example, we may be subject to the GDPR (or UK GDPR) even when processing personal data in connection with offering goods or services to persons located in the EEA (or UK) or monitoring the behavior of persons located in the EEA (or UK).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GDPR requirements include that personal data may only be collected for specified, explicit and legitimate purposes based on a certain legal bases set forth in GDPR, and may only be processed in a manner consistent with those purposes. Processing of personal data also needs to be adequate, relevant, not excessive in relation to the purposes for which it is collected and secure. Personal data must not be kept for longer than necessary for the purposes of collection. To the extent that we process, control or otherwise use sensitive data relating to living individuals (for example, patients’ health or medical information, or genetic data or biometric data used for identification purposes, and other types of "special category data" listed in GDPR), more stringent rules may apply, limiting the circumstances and the manner in which we are legally permitted to process that data and transfer that data outside of the EEA (UK). In particular, in order to process such data, explicit consent to the processing (including any cross-border transfer) may be required from the data subject (being the person to whom the personal data relates), though in certain cases, and depending on the jurisdiction in which the data originate or are processed, such data may be processed absent explicit consent for purposes of medical diagnosis, public interest in the area of public health (including the safety and efficacy of medical devices) or scientific research. The same rules apply to us in the UK under the UK GDPR.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GDPR and UK GDPR also impose potentially onerous accountability obligations requiring data controllers and processors to maintain a record of their data processing and privacy policies/notices. They require data controllers to be transparent and disclose to data subjects in privacy notices (in a concise, intelligible and easily accessible form but at the same time at a sufficiently granular level) how their personal information is to be used, impose limitations on retention of information, encourage the use of pseudonymization techniques (i.e., key-coded) data, introduces mandatory data breach notification requirements and sets higher standards for data controllers to demonstrate that they have obtained valid consent for certain data processing activities. Fines for non-compliance with the GDPR and the UK GDPR may be significant. The GDPR provides that EEA member states may introduce further conditions, including limitations, to the processing of genetic, biometric or health data (and other special category data), which could limit our ability to collect, use and share personal data, or could cause our compliance costs to increase, ultimately having an adverse impact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EU GDPR (or UK GDPR) protected data must not be transferred outside of the EEA or UK, respectively, to a non-adequate country (i.e. a country that has not been recognized by the European Commission (in respect of the EU GDPR protected data) or the Secretary of State (in respect of the UK GDPR protected data) as providing an adequate level of protection for the transferred data), unless certain steps are taken to ensure an adequate level of protection. In practice, these extra steps would normally mean (i) entering into EU Standard Contractual Clauses (or, in case of the UK personal data, the UK Addendum to EU Standard Contractual Clauses or, alternatively, the IDTA i.e. the ICO's International Data Transfer Agreement) or putting in place another data transfer mechanism, (ii) carrying out a transfer impact assessment and where necessary to protect the data, implementing supplementary measures. There are exemptions to these data transfer restrictions but these are interpreted narrowly.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July 2020 invalidation by the Court of Justice of the European Union of the EU-U.S. Privacy Shield framework, one of the mechanisms used to legitimize the transfer of personal data from the EEA (and, post-Brexit, the UK to the U.S., has led to increased scrutiny on data transfers from the EEA (and UK) to the U.S. generally and may increase our costs of compliance with data privacy legislation due to the requirement to enter into EU Standard Contractual Clauses (or, in case of the UK personal data, the UK Addendum to EU Standard Contractual Clauses or the IDTA) and further extra steps set out above. In July 2023, the European Commission announced that it had adopted its adequacy decision on the EU-US transfers of personal data - the new Data Privacy Framework, or EU-US DPF, which became effective in July 2023. Under the EU-US DPF, it is possible to transfer EEA personal data freely to the US recipient that has self-certified under the EU-US DPF regime, although this may be challenged in the European Union Court of Justice by EU based privacy advocates.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subject to the supervision of local data protection authorities in those jurisdictions where we are established or otherwise subject to applicable law.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depend on third parties in relation to provision of our services, a number of which process personal data on our behalf. With such providers we are legally required to enter into contractual arrangements which contain the minimum terms set out in the GDPR (and the UK GDPR), including to ensure that they process personal data only according to our instructions, and that they have adequate technical and organizational security measures in place. Where personal data is being transferred outside the EEA (or the UK), it must be done in compliance with applicable data export requirements. Any failure by us or third parties to comply with applicable data laws, could lead to a security or privacy breach, regulatory enforcement, or regulatory, reputational or financial harm.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 Healthcare Reform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Additional healthcare reform efforts have sought to address certain issues related to the COVID-19 pandemic.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 We cannot, however, predict the ultimate content, timing or effect of any healthcare reform legislation or action, or its impact on us, and healthcare reform could increase compliance costs and may adversely affect our future business, operations and financial results.</w:t>
      </w:r>
    </w:p>
    <w:p>
      <w:pPr>
        <w:pStyle w:val="TextBody"/>
        <w:bidi w:val="0"/>
        <w:spacing w:before="240" w:after="283"/>
        <w:jc w:val="left"/>
        <w:rPr>
          <w:rFonts w:ascii="Times New Roman" w:hAnsi="Times New Roman"/>
          <w:sz w:val="20"/>
        </w:rPr>
      </w:pPr>
      <w:r>
        <w:rPr>
          <w:rFonts w:ascii="Times New Roman" w:hAnsi="Times New Roman"/>
          <w:b/>
          <w:color w:val="000000"/>
          <w:sz w:val="20"/>
        </w:rPr>
        <w:t>Human Capital Management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human capital strategy is comprehensive and leverages our work practices and collaborative culture. As of December 31, 2024, we employed 728 people globally, most of whom were full-time employees.</w:t>
      </w:r>
    </w:p>
    <w:p>
      <w:pPr>
        <w:pStyle w:val="TextBody"/>
        <w:bidi w:val="0"/>
        <w:spacing w:before="240" w:after="283"/>
        <w:jc w:val="both"/>
        <w:rPr>
          <w:rFonts w:ascii="Times New Roman" w:hAnsi="Times New Roman"/>
          <w:sz w:val="20"/>
        </w:rPr>
      </w:pPr>
      <w:r>
        <w:rPr>
          <w:rFonts w:ascii="Times New Roman" w:hAnsi="Times New Roman"/>
          <w:i/>
          <w:color w:val="000000"/>
          <w:sz w:val="20"/>
        </w:rPr>
        <w:t>Our Culture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strive to foster a global, engaging, and safe work environment where employees want to grow their careers. Our workforce consists of individuals from countries all over the world, representing many different faiths, languages, backgrounds, and cultures. We want our employees to feel welcome and comfortable in our organization and feel that they are supported in growing their career. We promote understanding of our mission, vision, and values and create strong relationships with our employees through various engagement and career development initiatives. For example, we hold quarterly Town Hall meetings with all employees to provide them with an open forum to ask questions, voice any concerns, and provide input on our corporate goals and vision for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adopted policies to promote compliance with laws and regulations as well as to foster a respectful workplace for all employees. These policies include a code of business conduct and ethics, an insider trading policy, a Regulation FD policy, a sexual harassment policy, a regulated fraternization policy, and a whistleblower policy. Along with an overview of the company, our culture and expectations, training on these policies is a key component of our employee onboarding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Health and Safety: We are committed to maintaining compliance with laws and regulations surrounding the health and safety of our employees and strive to follow best practices in our operations. We require relevant employees to complete workplace safety training before performing any job duties that entail potential health hazards, such as trainings for employees who handle hazardous chemicals and biohazardous materials. </w:t>
      </w:r>
    </w:p>
    <w:p>
      <w:pPr>
        <w:pStyle w:val="TextBody"/>
        <w:bidi w:val="0"/>
        <w:spacing w:before="240" w:after="283"/>
        <w:jc w:val="both"/>
        <w:rPr>
          <w:rFonts w:ascii="Times New Roman" w:hAnsi="Times New Roman"/>
          <w:sz w:val="20"/>
        </w:rPr>
      </w:pPr>
      <w:r>
        <w:rPr>
          <w:rFonts w:ascii="Times New Roman" w:hAnsi="Times New Roman"/>
          <w:i/>
          <w:color w:val="000000"/>
          <w:sz w:val="20"/>
        </w:rPr>
        <w:t>Talent Attraction, Retention, and Development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seek exceptionally talented and dedicated people to join our team to help shape both our future and the future of transplant medicine. The focus of our recruitment efforts has been centered on finding talent for the NOP, our engineering, manufacturing, and supply chain operations, and in the field of logistics and aviation, including logistics coordinators, pilots and aviation mechanics. We aim to hire people with the right skill sets, growth mindset, and work ethic to drive business results and help us achieve our goals. We provide relocation benefits to eligible employees whom we request to move in connection with their employment with the objective of attracting and deploying top talent.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Compensation and Benefits: We offer competitive compensation and benefits in an exciting, demanding, and fast-paced work environment. We provide employee benefits to eligible employees to promote personal health and well-being and to provide certain financial security and protection upon retirement or in the event of death, disability or illness. These benefits to eligible employees include a 401(k) retirement plan with an employer matching contribution, health insurance (including medical, dental, and vision), life insurance, short- and long-term disability insurance, and paid time off policies. We offer an employee stock purchase plan to facilitate broad-based stock ownership by our employees.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Career Development: We are proud to have a work environment that promotes continued development for our employees. Each employee is provided formal written feedback, at least annually, and together with his/her manager, develops individual goals that are derived from our overall corporate and financial goals. Moreover, we collaborate with our employees to provide customized career development plans as well as general and targeted training curricula based on their roles.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Corporate Information and Organizational Transactions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TransMedics Group, Inc., was incorporated in the Commonwealth of Massachusetts in October 2018 to facilitate our initial public offering, or IPO. TransMedics, Inc., an operating company and wholly-owned subsidiary of TransMedics Group, Inc., was incorporated in the State of Delaware in August 1998. Our principal executive offices are located at 200 Minuteman Road, Andover, Massachusetts 01810, and our telephone number at that address is (978) 552-0900.</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Our Internet address is www.transmedics.com. Our website and the information contained on, or that can be accessed through, the website will not be deemed to be incorporated by reference in, and are not considered part of, this Annual Report on Form 10-K. Our Annual Report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portion of our website free of charge as soon as reasonably practicable after we electronically file such material with, or furnish it to, the SEC. In addition, our filings with the SEC may be accessed through the SEC’s Electronic Data Gathering, Analysis and Retrieval system at </w:t>
      </w:r>
      <w:r>
        <w:rPr>
          <w:rFonts w:ascii="Times New Roman" w:hAnsi="Times New Roman"/>
          <w:i/>
          <w:color w:val="000000"/>
          <w:sz w:val="20"/>
        </w:rPr>
        <w:t>http://www.sec.gov</w:t>
      </w:r>
      <w:r>
        <w:rPr>
          <w:rFonts w:ascii="Times New Roman" w:hAnsi="Times New Roman"/>
          <w:color w:val="000000"/>
          <w:sz w:val="20"/>
        </w:rPr>
        <w:t xml:space="preserve">.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 </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3" w:name="item_1a_risk_factors"/>
      <w:bookmarkEnd w:id="13"/>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0"/>
        </w:rPr>
        <w:t>An investment in our common stock involves risks. The following risks and all of the other information contained in this Annual Report on Form 10-K should be considered carefully before investing in our common stock. The risks described below are those that we believe are the material risks that we face. If any of the following risks actually occurs, our business, prospects, operating results and financial condition could suffer materially, the trading price of our common stock could decline and investors could lose all or part of their investment. The risks and uncertainties described below are not the only ones we face. Additional risks and uncertainties not presently known to us or that we currently believe to be immaterial may also adversely affect our business. See “Forward-Looking Statements” in this Annual Report on Form 10-K.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Our Financial Position and Need for Additional Capital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financial results may fluctuate from quarter to quarter, which makes our results difficult to predict and may cause our results to fall short of expectations.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financial results may fluctuate from quarter to quarter due to a number of factors, including the availability of donor organs for transplantation, which is unpredictable and could impact the volume of transplant procedures performed at transplant centers using the OCS and demand for our NOP. Our revenue from sales may fluctuate significantly from quarter to quarter, and our future quarterly and annual expenses as a percentage of our revenue may be significantly different from those we have recorded in the past. In addition, the timing of acquiring additional aircraft for our aviation transportation services is uncertain and the amount we incur for such acquisitions is likely to differ from quarter to quarter. Our financial results in some quarters may fall below expectations. Comparing our financial results on a period-to-period basis may not be meaningful, and past results may not be an indication of our future performance.</w:t>
      </w:r>
    </w:p>
    <w:p>
      <w:pPr>
        <w:pStyle w:val="TextBody"/>
        <w:bidi w:val="0"/>
        <w:spacing w:before="240" w:after="283"/>
        <w:jc w:val="both"/>
        <w:rPr>
          <w:rFonts w:ascii="Times New Roman" w:hAnsi="Times New Roman"/>
          <w:sz w:val="20"/>
        </w:rPr>
      </w:pPr>
      <w:r>
        <w:rPr>
          <w:rFonts w:ascii="Times New Roman" w:hAnsi="Times New Roman"/>
          <w:b/>
          <w:i/>
          <w:color w:val="000000"/>
          <w:sz w:val="20"/>
        </w:rPr>
        <w:t>Our existing and any future indebtedness could adversely affect our ability to operate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2024, our outstanding principal balance of long-term debt under our credit agreement with Canadian Imperial Bank of Commerce, or CIBC, was $60.0 million, which we refer to as the CIBC Credit Agreement. Our payment obligations under the CIBC Credit Agreement reduce cash available to fund working capital, capital expenditures, research and development and general corporate needs. In addition, indebtedness under the CIBC Credit Agreement bears interest at a variable rate, making us vulnerable to increases in market interest rates. If market rates increase substantially, we will have to pay additional interest on this indebtedness, which would further reduce cash available for our other business needs. We may not have sufficient funds, and may be unable to arrange for additional financing, to pay the amounts due under or refinance our indebtedness under the CIBC Credit Agreement, which is repayable in equal monthly installments starting in July 2026 until its maturity in July 2027.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obligations under the CIBC Credit Agreement are secured by substantially all of our assets and the assets of our wholly-owned material subsidiaries, subject to certain exceptions. The security interest granted over our assets could limit our ability to obtain additional debt financing. In addition, the CIBC Credit Agreement contains covenants requiring certain financial performance metrics that restrict our activities, including (x) a requirement to maintain a minimum liquidity amount of the greater of either (i) the consolidated adjusted EBITDA loss (or gain) for the trailing four month period (only if EBITDA is negative) and (ii) $10.0 million, and (y) a requirement to maintain total net revenue of at least 75% of the level set forth in the total revenue plan presented to CIBC. Failure to comply with the covenants in the CIBC Credit Agreement, including the financial covenants, could result in the acceleration of our obligations under the CIBC Credit Agreement, which are also subject to acceleration upon the occurrence of specified events of default, including payment default, change in control, bankruptcy, insolvency, certain defaults under other material debt, certain events with respect to regulatory approvals and a material adverse change in our business, operations or other financial condition. If an event of default (other than certain events of bankruptcy or insolvency) occurs and is continuing, CIBC may declare all or any portion of the outstanding principal amount of the borrowings plus accrued and unpaid interest to be due and payable. Upon the occurrence of certain events of bankruptcy or insolvency, all of the outstanding principal amount of the borrowings plus accrued and unpaid interest will automatically become due and payable. If such acceleration were to occur, it would materially and adversely affect our business, financial condition, operating results, cash flows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outstanding indebtedness, combined with our other financial obligations, could increase our vulnerability to adverse changes in general economic, industry and market conditions, limit our flexibility in planning for, or reacting to, changes in our business and the industry and impose a competitive disadvantage compared to our competitors that have less debt or better debt servicing options. See “Item 7. Management’s Discussion and Analysis of Financial Condition and Results of Operations—Liquidity and Capital Resources—Long-term Debt” in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Servicing our 1.50% convertible senior notes due 2028 requires a significant amount of cash, and we may not have sufficient cash flow to pay our debt.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May 2023, we issued $460.0 million aggregate principal amount of the Notes, pursuant to that certain indenture dated as of May 11, 2023, between us as issuer, and U.S. Bank Trust Company, National Association, as trustee. Our ability to make scheduled payments of the principal of, to pay interest on, or to refinance our indebtedness, including the Notes, depends on our future performance, which is subject to many factors, including, economic, financial, competitive and other, beyond our control. If our business does not generate cash flow from operations sufficient to service our debt and make necessary capital expenditures, we may be required to adopt one or more alternatives, such as selling assets, restructuring debt or obtaining additional equity capital on terms that may be onerous or highly dilutive. Our ability to refinance the Notes, which mature in 2028, will depend on the capital markets and our financial condition at such times. We may not be able to engage in any of these activities or engage in these activities on desirable terms, which could result in a default on our debt obligations, and limit our flexibility in planning for and reacting to changes in our business.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have the ability to raise the funds necessary to repurchase the Notes as required upon a fundamental change, and our future debt may contain limitations on our ability to repurchase the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Holders of the Notes will have the right to require us to repurchase their Notes for cash upon the occurrence of a fundamental change at a fundamental change repurchase price equal to 100% of the principal amount of the Notes to be repurchased, plus accrued and unpaid interest, if any. A fundamental change may also constitute an event of default or prepayment under, and result in the acceleration of the maturity of, our then-existing indebtedness. We cannot guarantee that we will have sufficient financial resources, or will be able to arrange financing, to pay the fundamental change repurchase price in cash with respect to any Notes surrendered by holders for repurchase upon a fundamental change. In addition, restrictions under our then existing credit facilities or other indebtedness, if any, may not allow us to repurchase the Notes upon a fundamental change. Our failure to repurchase the Notes upon a fundamental change when required would result in an event of default with respect to the Notes which could, in turn, constitute a default under the terms of our other indebtedness, if any. If the repayment of the related indebtedness were to be accelerated after any applicable notice or grace periods, we may not have sufficient funds to repay the indebtedness and repurchase the Notes.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Capped call transactions entered into in connection with the Notes may impact the value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Notes, we entered into capped call transactions with certain financial institutions. The capped call transactions are expected to generally reduce the potential dilution upon conversion of the Notes into shares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establishing their initial hedges of the capped call transactions, these financial institutions or their respective affiliates may have entered into various derivative transactions with respect to our common stock and/or purchased our common stock. The financial institutions,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This activity may have an impact on the value of our common stock.</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not be able to sustain profitability.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recent years, we have incurred significant operating losses and we have only recently achieved profitability. Our ability to generate revenue sufficient to achieve sustained profitability will depend on the continued customer utilization of our NOP. We generated net income of $35.5 million for the year ended December 31, 2024. As of December 31, 2024, we had an accumulated deficit of $468.2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efforts to grow our business have been and may continue to be costlier than we expect. If our operating and capital expenditures are greater than we expect and if our revenue growth is not sufficient to support these expenditures, we will not be able to sustain profitability. We expect our operating and capital expenditures will continue to increase for the foreseeable future as we focus on growing commercial sales of our products in both the U.S. and select non-U.S. markets, including growing our NOP; acquiring and maintaining additional aircraft to support aviation transportation; growing our commercial team, which will pursue increasing commercial sales of our OCS products; scaling our manufacturing operations; continuing research and development for our next generation OCS products, including conducting clinical trials for our next generation OCS products; and seeking regulatory clearance for new products and product enhancements, including new indications, in both the U.S. and select non-U.S. markets. The timing and amount of our operating and capital expenditures will depend on many factors, including: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revenue generated from our NOP services and sales of our OCS Consoles, OCS Perfusion Sets and OCS Solutions;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costs and expenses of expanding our U.S. and non-U.S. commercial infrastructure and our manufacturing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extent to which our OCS products are adopted by the transplant community;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ability of our customers to obtain adequate reimbursement from third-party payors for procedures performed using the OCS products;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costs incurred in our efforts to operate and grow our NOP, including the costs and timing of growing our logistics capabilities, inclusive of acquiring and maintaining current and additional aircraft for our aviation transportation services;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costs and timing of research and development of the next generation of OCS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degree of success we experience in commercializing our OCS products for additional indications;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costs, timing and outcomes of any future clinical studies and regulatory reviews, including to seek and obtain approvals for the next generation of OCS products or for new indications for our OCS products;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emergence of competing or complementary technologies;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number and types of future products we develop and commercialize;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costs of preparing, filing and prosecuting patent applications and maintaining, enforcing and defending intellectual property-related claims;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level of our selling, general and administrative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the numerous risks and uncertainties associated with product development and commercialization, we are unable to accurately predict the timing or amount of increased expenses or if we will be able to maintain profitability.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ability to use our net operating losses and research and development credit carryforwards to offset future taxable income may be subject to limitations.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2024, we had federal net operating loss, or NOL, carryforwards of $404.1 million, which may be available to offset future taxable income, of which $204.6 million of the total NOL carryforwards expire at various dates through 2037, while the remaining $199.5 million do not expire but are limited in their usage to an annual deduction equal to 80% of annual taxable income. As of December 31, 2024, we had state NOL carryforwards of $349.6 million, which may be available to offset future taxable income and expire at various dates beginning in 2030. As of December 31, 2024, we also had U.S. federal and state research and development tax credit carryforwards of $13.2 million and $8.3 million, respectively, which may be available to offset future tax liabilities. Our U.S. federal research and development tax credit carry forwards expire at various dates through 2044. A material portion of these NOL and tax credit carryforwards could expire unused and be unavailable to offset future income tax liabilities. In addition, in general, under Sections 382 and 383 of the Internal Revenue Code of 1986, as amended, or the Code, a corporation that undergoes an “ownership change,” generally defined as a greater than 50% change by value in its equity ownership over a three-year period, is subject to limitations on its ability to utilize its pre-change NOLs, its research and development credit carryforwards and its disallowed interest expense carryovers to offset future taxable income. Our existing NOLs and research and development credit carryforwards may be subject to limitations arising from previous ownership changes. In addition, future changes in our stock ownership, some of which might be beyond our control, could result in an ownership change under Section 382 of the Code. Our NOLs and credits may also be impaired under state law. For these reasons, if we determine that an ownership change has occurred or in the event we experience a change of control, we may not be able to utilize a material portion of the NOLs, research and development credit carryforwards or disallowed interest expense carryovers incurred prior to 2019.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our ability to utilize our NOLs or credits is conditioned upon our maintaining profitability and generating U.S. federal and state taxable income. As described above, prior to 2024, we incurred significant net losses since inception; and therefore, we do not know whether we will generate the U.S. federal or state taxable income necessary to utilize our NOL or credit carryforwards. Under the Tax Cuts and Jobs Act, or TCJA, NOLs arising in taxable years beginning after December 31, 2017 will not be subject to expiration. In addition, the deduction for NOLs in any taxable year is limited to 80% of annual taxable income in respect of NOLs generated during or after 2018. The TCJA also reduced the corporate income tax rate to 21%, from a prior rate of 35%. This may cause a reduction in the potential economic benefit of our NOLs and other available deferred tax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need to raise additional funding, which might not be available on favorable terms or at all. Raising additional capital may cause dilution to our shareholders.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Until such time, if ever, that we can generate substantial revenue sufficient to achieve sustained profitability, we may need to finance our operations through a combination of equity offerings, debt financings and strategic alliances. We also may elect to raise additional funds because we believe market conditions are attractive or as a risk mitigation measure. Additional capital might not be available when we need it, and our actual cash requirements might be greater than anticipated. If we require additional capital at a time when investment in our industry or in the marketplace in general is limited, we might not be able to raise funding on favorable terms, if at all. If we are not able to obtain financing on terms favorable to us, we may need to significantly delay, scale back or discontinue our development or commercialization activities, sell or license to third parties some or all of our assets or merge with another entity or may be forced to reduce or terminate our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raise additional funds through the issuance of equity or convertible securities, the issuance of these securities could dilute shareholders' percentage ownership in our company. Furthermore, newly issued securities may have rights, preferences or privileges senior to those of common shareholders. If we raise additional funds through additional debt financing, we may need to dedicate a substantial additional portion of any operating cash flows to the payment of principal and interest on such indebtedness. The terms of any debt financing also could impose significant restrictions on our operations.</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Product Commercialization and Development</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long-term growth depends on our ability to expand access to the OCS through our NOP.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developed the NOP, an innovative turnkey solution to provide outsourced organ procurement and OCS perfusion management, to provide transplant programs with a more efficient process to procure donor organs with the OCS. We believe the NOP will continue to expand access and use of the OCS. However, continued operations of our NOP depend on recruiting, training and retaining qualified surgeons, clinical specialists, pilots, and other personnel and establishing and maintaining effective coordination with transplant centers and regional Organ Procurement Organizations to locate donor organs and recipients. We may not be able to continue to recruit, train and retain qualified personnel, including due to demand for their capabilities and competitive compensation offered by other employers. In order to recruit, train and retain such highly qualified employees, we also may need to increase the level, or change the form or composition, of the compensation that we pay to them, which would increase our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our own surgical and clinical personnel, we utilize a network with a limited number of partners for organ procurement, organ preservation and transportation services offered through our NOP. If any of these relationships are interrupted or terminated, or if one or more partners are unable or unwilling to fulfill their obligations for any reason, NOP services to our customers may be interrupted. We also may not be able to identify or negotiate with additional partners on terms that are commercially reasonable to us. The interruption or failure to retain or replace partners for our NOP would negatively impact our operations and financial results. Furthermore, the expenses incurred by us to customers who participate in our NOP are dependent on many different market dynamics, including the cost of fuel and other transportation costs. Additional expenses incurred by our NOP could adversely affect our business, gross margin, financial condition, operating results, cash flows and prospects. </w:t>
      </w:r>
    </w:p>
    <w:p>
      <w:pPr>
        <w:pStyle w:val="TextBody"/>
        <w:bidi w:val="0"/>
        <w:spacing w:before="240" w:after="283"/>
        <w:jc w:val="both"/>
        <w:rPr>
          <w:rFonts w:ascii="Times New Roman" w:hAnsi="Times New Roman"/>
          <w:sz w:val="20"/>
        </w:rPr>
      </w:pPr>
      <w:r>
        <w:rPr>
          <w:rFonts w:ascii="Times New Roman" w:hAnsi="Times New Roman"/>
          <w:b/>
          <w:i/>
          <w:color w:val="000000"/>
          <w:sz w:val="20"/>
        </w:rPr>
        <w:t>Our long-term growth depends on our ability to improve the OCS platform, including by developing the next generation of our products or expanding into new indications.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plan contemplates that we will continue to improve the OCS platform, including by developing the next generation of our products or expanding into additional organs. Developing such new or modified products is expensive and time-consuming and diverts management’s attention away from current operations. The success of any new product offering or product enhancements to our OCS platform will depend on several factors, including our ability to: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properly identify and anticipate surgeon and patient needs;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develop and introduce new products and product modifications in a timely manner;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avoid infringing upon, misappropriating or otherwise violating the intellectual property rights of third parties;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demonstrate the safety and efficacy of new products and product modifications;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obtain necessary regulatory clearances or approvals;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comply with regulations regarding the marketing of new products or product modifications;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provide adequate training to potential users of our products;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receive adequate coverage and reimbursement for procedures performed with our products;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develop an effective commercialization effort.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not successful in expanding our indications and developing the next generation of our products, our ability to increase our revenue may be impaired, which could materially and adversely affect our business, financial condition, operating results, cash flows and prospects.</w:t>
      </w:r>
    </w:p>
    <w:p>
      <w:pPr>
        <w:pStyle w:val="TextBody"/>
        <w:bidi w:val="0"/>
        <w:spacing w:before="240" w:after="283"/>
        <w:jc w:val="both"/>
        <w:rPr>
          <w:rFonts w:ascii="Times New Roman" w:hAnsi="Times New Roman"/>
          <w:sz w:val="20"/>
        </w:rPr>
      </w:pPr>
      <w:r>
        <w:rPr>
          <w:rFonts w:ascii="Times New Roman" w:hAnsi="Times New Roman"/>
          <w:b/>
          <w:i/>
          <w:color w:val="000000"/>
          <w:sz w:val="20"/>
        </w:rPr>
        <w:t>We will need to increase our manufacturing and sterilization capacity in the future and may encounter problems at our manufacturing facility or otherwise.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order to manufacture the OCS in quantities sufficient to meet our anticipated commercial opportunity, we will need to continue to increase our manufacturing capabilities and retain third parties to sterilize our products. We may encounter technical challenges to increasing the scale at which we manufacture the OCS, including with respect to material procurement and quality control and assurance. An increase in production could make it more difficult for us to comply with quality system regulations or other applicable requirements that are currently enforced by the FDA and other regulatory authorities, or that may be introduced in the future, in both the United States and in other countries. Commercial scale production of the OCS on a continuing basis also will require us to continue to hire and retain additional management and technical personnel who have the necessary manufacturing experience and skills. We might not successfully identify, hire or retain qualified personnel on a timely basis or at all. To maintain quality of our OCS, we may not be able to scale production of our OCS products at a rate that meets customer demand for our products. Our inability to increase the scale of our manufacturing of the OCS could impair our ability to generate revenue and adversely affect market acceptance of our product.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all of our manufacturing operations are conducted at a single facility in Andover, Massachusetts. Any interruption in operations at this location could result in our inability to satisfy product demand. Despite our efforts to safeguard this facility, including acquiring insurance on commercially reasonable terms, adopting environmental health and safety protocols and utilizing off-site storage of computer data, a number of factors could damage or destroy our manufacturing equipment or our inventory of component supplies or finished goods, cause substantial delays in our operations, result in the loss of key information, and cause us to incur additional expenses, including: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operating restrictions, partial suspension or total shutdown of production imposed by regulatory authorities;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equipment malfunctions or failures;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technology malfunctions;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work stoppages;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damage to or destruction of the facility due to natural disasters or other events;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regional or local power shortages.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insurance may not cover our losses in any particular case, or insurance may not be available on commercially reasonable terms to cover certain of these catastrophic events. In addition, regardless of the level of insurance coverage, damage to our facilities or any disruption that impedes our ability to manufacture the OCS in a timely manner could materially and adversely affect our business, financial condition, operating results, cash flows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third-party vendors to sterilize our disposable sets prior to sale. If vendors are unable to sterilize our products, whether due to capacity, availability of materials for sterilization, regulatory or other constraints, including federal and state regulations on the use of ethylene oxide used in the sterilization process, we will not be able to sell products until we can retain an alternative vendor to sterilize the products. We may be unable to transition to alternative methods of sterilization in a timely or cost-effective manner or at all, which could harm our business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results of operations could be materially harmed if we are unable to accurately forecast customer demand for our products and manage our inventory.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seek to maintain sufficient levels of inventory, including our OCS Perfusion Sets, in order to protect ourselves from supply interruptions and to support the demand from customers, but keep limited components, sub-assemblies, materials and finished products on hand. To ensure adequate inventory supply and manage our operations with our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the rate of transplantations, product recalls, failure to accurately manage our commercial strategy, product introductions by competitors, an increase or decrease in customer demand for our products, our failure to accurately forecast customer acceptance of new products, changes to hospital capacity, staffing, procedure and protocol changes, unanticipated changes in general market conditions or regulatory matters and weakening of economic conditions or consumer confidence in future economic conditions. We also maintain inventory reserves at regional locations for distribution through our NOP. If we are not able to maintain sufficient inventory at these locations, or if we are not able to accurately predict the regional demand for our OCS products, we will incur additional costs to transport inventory to our regional locations, including rebalancing inventory amongst regional locations, and we may not be able to grow our commercial sales as anticipated.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Inventory levels in excess of customer demand may result in a portion of our inventory becoming obsolete or expiring, as well as inventory write-downs or write-offs. Conversely, if we underestimate customer demand for our products or our own requirements for components, subassemblies and materials, our manufacturing partners and suppliers may not be able to deliver components, sub-assemblies and materials to meet our requirements and our manufacturing may be affected by the impact of inflation and labor shortages on our suppliers,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may not be available when required on terms that are acceptable to us or our manufacturing partners, or at all, and our manufacturing partners and suppliers may not be able to allocate sufficient capacity in order to meet our increased requirements, any of which could have an adverse effect on our ability to meet customer demand for our products and our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aim to maintain strategic reserves of our OCS Perfusion Sets, but if we are not able to manufacture and assemble OCS Perfusion Sets at a rate that will allow us to maintain these reserves, then we will be required to rely on alternative strategies to deliver OCS Perfusion Sets in a timely manner, which may impact our expenses and results of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We depend heavily on the success of the OCS and it gaining additional market acceptance as well as the success of the next generation OCS. If we are unable to continue to successfully commercialize the OCS or the next generation OCS, our business may fail.</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invested substantial efforts and financial resources in the development of the OCS, educating surgeons, transplant centers, Organ Procurement Organizations and private and public payors of the benefits of the OCS, providing services related to the OCS and developing and operating our NOP. Although we have received PMA approvals from the FDA for each of our three OCS products, we might not be able to continue to successfully commercialize the OCS for these approved indications or obtain approvals for additional indications or in additional jurisdictions on our planned timing or at all. Our ability to generate product revenue and remain profitable depends primarily on sales of OCS Perfusion Sets and OCS Solutions, which we refer to collectively as disposable sets. Our assumptions regarding demographic trends, donor organ availability and the use of transplantation as a treatment for end-stage organ failure may prove to be incorrect.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we will need to continue to demonstrate to surgeons, transplant center program directors, Organ Procurement Organizations and private and public payors that the OCS potentially results in some or all of the following: improvements in post-transplant clinical outcomes, increases in the utilization of donor organs, expansion of the pool of potential donors and reduction in the total cost of care as compared to available alternatives.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Surgeons, transplant centers and private and public payors often are slow to adopt new products, technologies and treatment practices that require additional upfront costs and training. The cost of the OCS significantly exceeds the cost of cold storage preservation. In addition, our international customers and some U.S. customers use a direct acquisition model pursuant to which transplant centers train their own teams for organ procurement and OCS perfusion management using the OCS rather than utilizing our NOP. Surgeons may not be willing to undergo training to use the OCS, may decide the OCS is too complex to adopt without appropriate training and may choose not to use the OCS, which may limit the adoption of the OCS under the direct acquisition model. Further, the OCS replaces a decades-old standard of care and the NOP has significantly expanded service offerings available to transplant centers for the complicated organ procurement process that often requires resources and logistics beyond a transplant center’s existing clinical capabilities and capacity. As a result, we may face opposition from industry participants reluctant to change. An activist short seller published a disparaging report about our business, which may impact our reputation in the market and deter surgeons and transplant centers from adopting the OCS or utilizing our NOP. In addition, this activist short seller has submitted a petition to the FDA, requesting that the FDA suspend the PMA approval for the OCS and take other adverse actions related to the OCS, and in particular the OCS Liver, due to alleged off-label use of the device. We have responded to this petition, stating both legal and factual bases for rejection. Even if the FDA rejects the petition, the petition may nonetheless impact how surgeons, patients and transplant centers perceive the safety and efficacy of our OCS products, which would have a material adverse effect on our business, financial condition, results of operations and prospects, as well as harm our reputation. Based on these or other factors, transplant center program directors, Organ Procurement Organizations and private and public payors may decide not to use OCS. In addition, adoption of the OCS may be constrained by the capacity of individual transplant centers to perform transplants due to factors such as the number of its surgeons trained on the use of the OCS. As a result, demand for the OCS could be materially lower than we expect it to be, which would materially and adversely affect our business, financial condition, operating results, cash flows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must continue to educate surgeons, transplant centers and private and public payors and demonstrate the merits of the OCS compared with cold storage or new competing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Directors of transplant programs are key decision-makers in the adoption of novel medical devices used in organ transplantation. An important part of our commercialization efforts is to educate transplant center program directors and other surgeons on the relative merits of the OCS. Our success depends, in large part, on effectively marketing and educating program directors and other surgeons about the benefits of the OCS and our NOP. Acceptance of the OCS also depends on educating program directors, other surgeons and private and public payors as to the distinctive characteristics, perceived medical and economic benefits, safety, ease of use and cost-effectiveness of the OCS and our NOP. If program directors, other surgeons and private and public payors do not find our body of published clinical evidence and data compelling or wish to wait for additional studies, they may choose not to use or provide coverage and reimbursement for our products and NOP Services. Currently, most universal national healthcare systems outside of the United States do not reimburse transplant centers for the use of the OCS and reimbursement in international markets may require us to undertake additional clinical studies.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long-term effects of our OCS following transplantation are not yet known. Certain surgeons, transplant centers and private and public payors may prefer to see longer-term safety and efficacy data than we have produced. We cannot provide assurance that any data that we or others may generate in the future will be consistent with that observed in our existing clinical studies. In addition, as the NOP expands access to the OCS, transplant surgeons may increasingly rely on clinical data regarding the organ provided to them by our clinical specialists and surgeons. We are responsible for the clinical data regarding the organ that is provided to transplant surgeons who participate in the NOP.</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not fully realize the anticipated benefits of our completed or future acquisitions, joint ventures, and strategic investments, such transactions may expose us to additional risks.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our acquisition of Summit, an aviation business, in 2023, we have separately acquired 21 fixed-wing aircraft, and intend to acquire additional fixed-wing aircraft, that will be operated as part of our NOP. In addition, in August 2023, we acquired certain assets related to lung and heart perfusion technology from Bridge to Life Ltd. and its subsidiary Tevosol, Inc., or together Bridge to Life. Utilization of these acquired assets may be complex, costly and time consuming and we may face unanticipated issues, expenses and liabilities. We may not successfully or profitably utilize newly acquired assets or integrate, operate, maintain and manage any newly acquired operations or employees. Further development of the assets we acquired from Bridge to Life, or the Bridge to Life Assets, have and will continue to require extensive clinical development, management of nonclinical, clinical and manufacturing activities. In addition, we may decide that only certain of the acquired technology is useful for the next generation of the OCS, or that integration of the acquired technology is not feasible or is too costly.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a limited history of providing aviation transportation services and we continue to depend on certain members of the former management team of Summit for the successful operation and integration into our NOP services offering. Even if we are able to utilize the Bridge to Life Assets and fully realize the benefits of our acquisition of Summit, we may not realize the expected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benefits of other future transactions. We may review additional acquisition, joint ventures and strategic investment opportunities to expand our current product offerings, increase the size and geographic scope of our operations or otherwise offer growth and operating efficiency opportunities. We may not be able to identify suitable candidates or consummate future transactions on favorable terms. If required, the financing for future transactions could result in an increase in our indebtedness, dilute the interests of our shareholders or both. The purchase price for some acquisitions or joint ventures interests may include additional amounts to be paid in cash in the future, a portion of which may be contingent on the achievement of certain future operating results of the acquired business. If the performance of any such acquired business or joint venture exceeds such operating results, then we may incur additional charges and be required to pay additional amounts. Our failure to successfully utilize any acquired assets, complete the integration of any acquired business, including retention of key employees, customers and strategic partners, achieve the long-term plan for such assets or businesses, as well as any other adverse consequences associated with our acquisition and investment activities, could have an adverse effect on our business. Any acquisition may also disrupt our ongoing business, divert resources, increase our expenses, and distract our management from our ongoing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depend on a limited number of customers for a significant portion of our revenue and the loss of, or a significant shortfall in demand from, these customers could have a material adverse effect on our financial condition and operating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generate a significant amount of our revenue from a limited number of customers. However, our customers may not continue to utilize our products or services at current levels, pricing, or at all, and our revenue could fluctuate significantly due to changes in economic conditions, the use of other methods for organ preservation, such as cold storage or normothermic regional perfusion, or the loss of, reduction of business with, or less favorable terms with any of our largest customers. Our future success will depend upon the timing and volume of business from our largest customers and the financial and operational success of these customers. If we were to lose a key customer or have a key customer significantly reduce their volume of business with us, our revenue may be materially reduced, which would materially and adversely affect our business, financial condition, operating results, cash flows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Substantially all of our U.S. customers now participate in our NOP and our success will depend on our ability to maintain the function and efficiency, while increasing capacity and capability, of the NOP. If we are unable to deliver OCS products to customers through their participation in the NOP, our revenue would be materially reduced, which would materially and adversely affect our business, financial condition, operating results, cash flows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depend on single-source suppliers and, in a few cases, sole-source suppliers for many of the components used in the OCS.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single-source suppliers and, in a few cases, sole-source suppliers for many of the components used in the OCS. For example, each of Fresenius Kabi Austria GmbH and Fresenius Kabi AB, which we refer to collectively as Fresenius, is our single-source supplier of OCS Solutions for the OCS Lung and the OCS Heart, respectively. While we have manufacturing and supply agreements with certain of our suppliers, for most of our suppliers, we place purchase orders on an as-needed basis. Our suppliers could discontinue the manufacturing or supply of these components at any time. We do not carry a significant inventory of some of these components. Our suppliers may not be able to meet our demand for their products, either because of acts of nature, the nature of our agreements with those manufacturers or our relative importance to them as a customer, and our manufacturers may decide in the future to discontinue or reduce the level of business they conduct with us. In addition, if these suppliers are unable to deliver components to us, whether due to a labor shortage, slow down or stoppage, or for any other reason, we would be required to seek alternative suppliers. We might not be able to identify and qualify additional or replacement suppliers for any of these components quickly or at all or without incurring significant additional costs. We cannot guarantee that we will be able to establish alternative relationships on similar terms, without delay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may choose to establish our own manufacturing process of certain components and we may not be successful in doing so. In addition, the components we design may not be successful or may not provide a functional or economic benefit compared to similar components manufactured by third parties. We would also need to seek FDA approval for any change in the design of our device, including different components, which may not be granted in a reasonable time, if at all. If we choose to establish our own manufacturing process of components of the OCS, we may be required to procure additional raw materials for such processes, which may not be available. In addition, many of the components used in the OCS are specifically designed for use in the OCS, which means that off-the-shelf components may not be available as substitutes. We could be adversely affected if we experience any delay or deficiency in the quality of products obtained from suppliers and/or if we have to replace our suppliers.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Establishing additional or replacement suppliers for any of these materials or components, if required, or any supply interruption from our suppliers, could limit our ability to manufacture our products, result in production delays and increased costs and adversely affect our ability to deliver products to our customers on a timely basis. Our inability to obtain sufficient quantities of components for the OCS also could adversely affect development of the next generation of the OCS. If we are not able to identify alternate sources of supply for the components, we might have to modify our product to use substitute components, which could lead to additional regulatory obligations that could impact our marketing ability, cause delays in shipments, increase design and manufacturing costs and increase prices for our products. Any such modified product might not be as effective as the predecessor product or might not gain market acceptance. This could lead to customer dissatisfaction and damage to our reputation and could materially and adversely affect our business, financial condition, operating results, cash flows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 addition to our aviation transportation services, we also depend on third parties to transport donor organs and medical personnel for our NOP, and limited availability of, or increases in the cost of, transportation could limit our ability to grow or operate the NOP.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our aviation transportation services, our NOP depends on the use of a third-party network of private aircraft to transport medical personnel to retrieve donor organs and deliver donor organs to patients for transplantation. Reliance on private aircraft is subject to various risks, including those associated with change in fuel prices, work stoppages and weather-related operating hazards. In particular, private aircraft are occasionally in high demand and/or subject to price fluctuations based on market conditions. Further, availability is constrained by a limited number of private aircraft available in the United States and a limited number of qualified pilots. As a result, third-party private aircraft providers may not be able to prioritize our use of their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obtain flight services for our NOP when needed, we may be unable to utilize our NOP to satisfy demand. We also may be required to seek alternative and, potentially more costly, flight services. Although the cost of flights is paid by our customers, a substantial increase in the cost of flight services, due to prolonged increases in fuel prices, lack of availability of aircraft or otherwise, may require us to incur additional costs to identify and obtain alternative flights or rebalance our inventory by shipping products to locations for which flight costs are less expensive or from which flights are more readily available, and customers may be unwilling or unable to incur higher costs of flights and therefore forgo use of our services and products for the procurement of donor organs despite availability. Further, the capacity of our NOP is limited by the number of aircraft and pilots available for our use and as we continue to grow our NOP, we will be required to obtain access to a greater number of available aircraft and pilots.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achieve or maintain satisfactory pricing and margins for our products or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Manufacturers of medical devices have a history of price competition, and we may not be able to achieve satisfactory prices for our products or maintain prices at the levels we have historically achieved. Any decline in the amount that payors reimburse our customers for OCS products or services could make it difficult for customers to continue using, or to adopt, our products and could create additional pricing pressure for us. If we are forced to lower the price we charge for our products or services, our gross margins will decrease, which will adversely affect our ability to invest in and grow our business. If we are unable to maintain our prices, or if our costs increase and we are unable to offset such increase with an increase in our prices, our margins could erode. We will continue to be subject to significant pricing pressure, which could harm our business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Price increases of the components used to manufacture our products and supply shortages could adversely affect our business and operating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supply of raw materials to our component parts suppliers could be interrupted for a variety of reasons, including availability and pricing. We may experience supply chain disruptions due to general impacts of inflation and labor shortages and these disruptions to the supply chain could adversely affect our ability to meet commitments to customers. Significant price increases could adversely affect our results of operations and operating margins. In particular, inflation, changes in trade policies, the imposition of duties and tariffs and public health crises could adversely impact the price or availability of raw materials and the components of our products. The U.S. continues to implement certain trade actions, including imposing tariffs on certain goods imported from China and other countries. Significant tariffs have been proposed by the new administration, although it is not possible to predict the extent or focus of any such tariffs at this time. Additional tariffs, trade restrictions and export controls imposed by the U.S. on a broader range of imports, or further retaliatory trade measures taken by China or other countries in response, may impact our suppliers and the price of our components for our OCS products or our aircraft. We may not be able to pass along increased component part prices to customers in the form of price increases or our ability to do so could be delayed. Consequently, our results of operations and financial condition may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failure to compete effectively will harm our business and operating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broad range of medical device, pharmaceutical and biotechnology companies offer products, procedures and therapies that have the potential to limit the demand for organ transplantation. Companies within this group vary depending on the type of organ. New therapies for COPD, which includes emphysema and chronic bronchitis, could limit the demand for lung transplants. Alternative products, procedures and therapies including ventricular assist devices, cardiac rhythm management products, total artificial hearts, and drug therapies for the heart and surgical procedures could limit demand for heart transplants. Improved treatments for chronic diseases or conditions affecting the liver as well as efforts to develop artificial livers could limit the need for liver transplants. If demand for organ transplants decreases, sales of the OCS and its components will suffer.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companies may develop technologies and products that result in improved patient outcomes or are safer, easier to use, less expensive or more readily accepted than the OCS. These products or technologies could make the OCS obsolete or noncompetitive and reduce demand for our OCS products. Many of these providers of alternative products, procedures and therapies have greater name recognition, significantly greater financial resources and expertise in research and development, manufacturing, preclinical testing, conducting clinical trials, obtaining regulatory approvals and clearances and marketing and selling products than we do. Smaller and other early stage companies may also prove to be significant competitors, particularly through collaborative arrangements with large and established companies. Third parties may also compete with us in recruiting and retaining qualified medical, engineering and management personnel, establishing clinical trial sites and patient registration for clinical trials, as well as in acquiring technologies complementary to or necessary for our products or development programs or otherwise advantageous to our business. Our failure to compete effectively will harm our business and operating results.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clinical trial process that may be required to obtain future regulatory approvals is lengthy and expensive, with uncertain outcomes.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Clinical trials are necessary to support PMA applications and may be necessary to support future PMA supplements for modified versions of our marketed device products. Conducting clinical trials is a complex and expensive process, can take many years and outcomes are inherently uncertain. For the development of the next generation of OCS products or the development of OCS products for additional organs, we may incur substantial expense for, and devote significant time to, clinical trials but cannot be certain that the product tested will ever generate revenue sufficient to cover the costs of trials. We may experience significant setbacks in clinical trials, even after earlier clinical trials showed promising results, and failure can occur at any time during the clinical trial process. Any of our products may malfunction or may produce undesirable adverse effects that could cause us or regulatory authorities to interrupt, delay or halt clinical trials. We, the FDA or another regulatory authority may suspend or terminate clinical trials.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Successful results in early studies do not assure positive results in subsequent clinical trials. The data we collect from our preclinical studies and clinical trials may not be sufficient to support FDA or other regulatory clearance or approval. Additionally, the FDA may disagree with our interpretation of the data from our studies and trials. The FDA may conclude that the clinical trial design, conduct or results are inadequate to prove safety or effectiveness, and the FDA may require us to undertake expensive and lengthy additional trials, which may delay clearance or approval of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Clinical trials often require enrollment of large numbers of subjects, who may be difficult to identify, recruit and maintain as participants in the clinical trial. As a condition to our PMA approvals, we are required to conduct post-market studies. For example, we have post-approval registries ongoing for all three of our organ products, including the OCS Lung Thoracic Organ Perfusion Registry, or TOP Registry, the OCS Heart Perfusion Registry, or OHP, and the OCS Liver Perfusion Registry, or OLP.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Adverse outcomes in post-approval studies can result in withdrawal of approval of a PMA or restrictions on the approval. We will need to conduct additional clinical studies to support use of the OCS in, and development of OCS products for, new organs, and potentially for commercialization of our products in additional foreign jurisdictions. Clinical trials in organ transplant are difficult to design and implement, take substantial time to conduct and are expensive. The results of clinical trials are inherently uncertain. The initiation and completion of any studies may be prevented, delayed or halted for numerous reasons. The following could adversely affect the costs, timing or successful completion of any clinical trial: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been required and, prior to collecting clinical data in the future to support new PMA applications, may be required again to submit an IDE application to the FDA, which must become effective prior to commencing human clinical trials, and the FDA may reject our IDE application and notify us that we may not begin investigational trials;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regulators and other comparable foreign regulatory authorities may disagree as to the design or implementation of our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regulators and/or IRBs, or other reviewing bodies may not authorize us or our investigators to commence a clinical trial, or to conduct or continue a clinical trial at a prospective or specific trial site;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reach agreement on acceptable terms with prospective clinical trial sites, the terms of which can be subject to extensive negotiation and may vary significantly among different trial sites;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clinical trials may produce negative or inconclusive results, and we may decide, or regulators may require us, to conduct additional clinical trials or abandon product development programs;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third-party contractors, including those manufacturing or sterilizing our products, may fail to comply with regulatory requirements or meet their contractual obligations to us in a timely manner or at all;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might have to suspend or terminate clinical trials for various reasons, including a finding that the subjects are being exposed to unacceptable health risks;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have to amend clinical trial protocols or conduct additional studies to reflect changes in regulatory requirements or guidance, which we may be required to submit to an IRB and/or regulatory authorities for re-examination;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regulators, IRBs or other reviewing bodies may require or recommend that we or our investigators suspend or terminate clinical research for various reasons, including safety signals or noncompliance with regulatory requirements;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 of clinical trials may be greater than we anticipate;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be unable to recruit a sufficient number of clinical trial sites;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regulators or other reviewing bodies may fail to accept as satisfactory,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approval policies or regulations of FDA or applicable foreign regulatory agencies may change in a manner rendering our clinical data insufficient for approval;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current or future products may have undesirable side effects or other unexpected characteristics.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can occur at any stage of clinical testing. For example, our clinical studies may produce negative or inconclusive results, and, in the future, we may decide, or regulators may require us, to conduct clinical and non-clinical testing in addition to those we have planned. After submission of our PMA applications for OCS Lung and OCS Heart, the FDA requested certain additional clinical analyses, technical information and clarifications as part of the agency’s normal review process. The FDA ultimately approved both PMAs. The FDA could ask us to conduct additional clinical trials or submit additional evidence to support PMA applications in the future. Our failure to adequately demonstrate the safety and effectiveness of any product we may develop in the future would prevent receipt of regulatory clearance or approval and, ultimately, the commercialization of that product or indication for use. Even if our future products are cleared or approved in the United States, commercialization of our products in foreign countries would require marketing authorization from regulatory authorities in those countries. Authorization approval procedures vary among jurisdictions and can involve requirements and administrative review periods different from, and greater than, those in the United States, including additional preclinical studies or clinical trials. Any of these occurrences could materially and adversely affect our business, financial condition, operating results, cash flows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Logistics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limited experience operating aircraft, and we may not be able to achieve the anticipated benefits of our aircraft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limited experience operating aircraft, and we continue to depend on certain members of the former management team of Summit and additional employees we may hire for the successful operation of aviation transportation services and the integration into our NOP services offering. We must comply with applicable laws and regulations to manage our growing NOP logistics network. The operation of aircraft is a highly regulated activity and one that involves unique risks, including those described above, which we have not needed to manage previously. We may not successfully manage these risks or profitably utilize, integrate, operate, maintain and manage our newly acquired aircraft, employees and other aircraft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fail to retain certain members of the existing management of Summit, or if we fail to successfully manage our aircraft operations or growing logistics network, our ability to realize the anticipated benefits of the acquisition of Summit or expansion of our NOP may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operation of aircraft is subject to various risks, and failure to maintain an acceptable safety record may have an adverse impact on our ability to obtain and retain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operation of aircraft is subject to various risks, including catastrophic disasters, crashes, mechanical failures and collisions, which may result in loss of life, personal injury and/or damage to property, plant and equipment. We may experience accidents in the future. These risks could endanger the safety of our personnel, third-parties, equipment, viability of donor organs and other property (both ours and that of third-parties), as well as the environment. If any of these events were to occur, we could experience loss of revenue, termination of customer contracts, higher insurance rates, litigation, regulatory investigations and enforcement actions (including potential grounding of our fleet and suspension or revocation of our operating authorities) and damage to our reputation and customer relationships. In addition, to the extent an accident occurs with an aircraft we own or through the use of a third-party network of private aircraft, we could be held liable for resulting damages, which may involve claims from injured passengers, and survivors of deceased passengers and property owners. The amount of our insurance coverage may not be adequate to cover such losses, or we may be forced to bear substantial losses from such events, regardless of our insurance coverage. Moreover, any aircraft accident or incident, even if fully insured, and whether involving us or other private aircraft operators, could create a public perception that we are less safe or reliable than other private aircraft operators, which could cause our customers to lose confidence in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incur considerable costs to maintain the quality of (i) our safety program, (ii) our training programs and (iii) our fleet of aircraft. These costs may increase. If we are unable to maintain an acceptable safety record, we may not be able to retain existing customers and employees or attract new customers and employees, which could have a material adverse effect on our business, financial condition and results of operations. Failure to comply with regulatory requirements related to the maintenance of our aircraft and associated operations may result in enforcement actions, including revocation or suspension of our operating authorities in the United States.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Significant reliance on aircraft manufactured by a single company and spare parts poses risks to our business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our services offered under our NOP, we have acquired a fleet of fixed-wing aircraft. All of the aircraft we currently operate are variants of a single model produced by a single manufacturer. Parts and services from this manufacturer are subject to their product and workmanship warranties and capacity to service aircraft. If this manufacturer fails to adequately fulfill its obligations towards us or experiences interruptions or disruptions in production or provision of services due to, for example, bankruptcy, natural disasters, labor strikes or disruption of its supply chain we may experience a significant delay in the delivery of or fail to receive previously ordered parts, which would adversely affect our revenue and results of operations and could jeopardize our ability to meet the demands of our customers. If there is a shortage of replacement parts that are compatible with the model of aircraft we operate, our entire fleet may be impacted and we would not be able to rely on other model aircraft during replacement part shortages or outages. Our operation of a single model of aircraft may therefore limit flexible use of our fleet. Although we could choose to operate aircraft of other manufacturers or increase our reliance on third-party operators, such a change would involve substantial expense to us and could disrupt our business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Pratt &amp; Whitney aircraft engines to power our owned aircraft, and we may enter into program agreements covering certain of our aircraft related to engine maintenance and overhauls for certain aircraft in our fleet. If Pratt &amp; Whitney fails to adequately fulfill its obligations towards us or experiences interruptions or disruptions in production or provision of parts or services due to, for example, bankruptcy, natural disasters, labor strikes, increased FAA, oversight of the production process, or disruption of its supply chain, we may experience a significant delay in the delivery of or fail to receive previously ordered aircraft engines and parts, which could result in grounded aircraft. These disruptions would adversely affect our revenue and profitability and could jeopardize our ability to meet the demands of our customers. In addition, if we fail to meet our obligations or are otherwise in default under the program agreements, our access to aircraft engines and parts may become limited, which could adversely impact our business, operations, cash flow, financial condition and liquidity.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FAA could suspend or restrict the use of our aircraft in the event of actual or perceived mechanical problems or safety issues while it conducts its own investigation, whether involving our aircraft or another operator’s aircraft. For example, in 2023, the FAA required the removal of certain Pratt &amp; Whitney engines for inspection. If the FAA requires inspections of the types of Pratt &amp; Whitney aircraft engines that we utilize, our ability to operate our NOP may be limited, which could adversely impact our business, operations, cash flow, financial condition and liquidity.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availability of pilots to the private aviation industries is limited and may negatively affect our operations and financial condition. Increases in our labor costs adversely affect our business, results of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pilots are subject to stringent pilot qualification (including medical certification) and crew member flight training standards, or FAA qualification standards, which among other things require minimum flight hours for pilots, mandate strict rules to minimize pilot fatigue and require periodic recertification. These requirements limit the availability of qualified pilot candidates and increase pilot salaries and related labor costs, which increases our operating expenses. Such requirements also impact pilot scheduling, work hours and the number of pilots required to be employed for our operations. Further, in recent years, the airline industry has experienced significant volatility in pilot attrition, including volatility resulting from pilot wage and bonus increases at other industry participants, the growth of air cargo, additional charter operations and airlines, and more pilots reaching retirement age. If our attrition rates are higher than our ability to hire and retain replacement pilots, our operations and financial results would be adversely affected. We may not be able to balance the number of pilots we employ with the number of aircraft in our fleet and demand for our NOP, as well as accurately forecast pilot attrition and hiring needs. If our forecasts are inaccurate and we do not effectively balance the number of pilots we employ, or if the supply of pilots becomes constricted, such events could disrupt our business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operations and financial condition may be negatively impacted if we are unable to train pilots in a timely manner. Due to an industry-wide shortage of qualified pilots, driven by the flight hours requirements under the FAA qualification standards, including any special requirements related to certain types of aircraft, and attrition resulting from the hiring needs of other industry participants, pilot training timelines have significantly increased and stressed the availability of flight simulators, instructors and related training equipment. The training of our pilots may not be accomplished in a cost-efficient manner or in a manner timely enough to support our operational needs.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Due to the nature of our NOP services offering, which may require flight routes to various locations across the United States and often on short notice, we may not have access to a qualified pilot at the departure location. We may rely on commercial airlines to fly our pilots to the departure location. An inability to have pilots located in departure locations when necessary may cause us to delay or cancel a flight and could adversely affect our reputation, business, results of operation and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exposed to operational disruptions due to maintenance and third-party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aircraft fleet requires regular maintenance work, which may cause operational disruption. Failure to perform timely maintenance and repairs results in aircraft being underutilized which could have an adverse impact on our business, financial condition and results of operations. On occasion, airframe manufacturers and/or regulatory authorities require mandatory or recommended modifications across a particular fleet which may ground a particular type of aircraft. This may cause operational disruption to, and impose significant costs on us. Furthermore, our operations in remote locations, where delivery of components and parts or transportation of maintenance personnel could take a significant period of time, could result in delays in our ability to maintain and repair our aircraft. Any such delays may pose a risk to our business, financial condition and results of operations. Moreover, as our aircraft base increases and our fleet ages, our maintenance costs could potentially increase and we may be unable to manage the composition of our fleet in a manner that reduces costs due to the availability and prices for replacement aircraft and parts. When our aircraft are grounded for maintenance, we are required to rely on third-party logistics service providers to transport organs for our NOP, which increases the cost of operating our NOP.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third-party service providers to perform functions integral to our operations, including ground handling, landing fees, fueling, maintenance, and other services. Disruptions could occur and increase our operating costs or ability to meet customer demands.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Significant increases in aviation fuel costs could have a material adverse effect on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Fuel is essential to the operation of our aircraft and to our ability to carry out our aircraft operations. Fuel costs are a key component of our operating expenses for our aircraft operations. A significant increase in fuel costs may impact our flight activity and otherwise negatively impact our revenue, operating expenses and results of operations. In addition, potential increased environmental regulations that might require new fuel sources (e.g., sustainable aviation fuel) could lead to increased costs.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insurance may become too difficult or expensive to obtain. If we are unable to maintain sufficient insurance coverage, it may materially and adversely impact our results of operations and financial position.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Hazards are inherent in the operation of aircraft and may result in loss of life and property, potentially exposing us to substantial liability claims arising from the operation of aircraft. We carry insurance customary for the operation of aircraft. Insurance underwriters are required by various federal and state regulations to maintain minimum levels of reserves for known and expected claims. However, underwriters may not have adequate reserves to fund existing and future claims. The number of accidents, as well as the number of insured losses within the aviation and aerospace industries, and the impact of general economic conditions on underwriters may result in increases in premiums above the rate of inflation. To the extent that our existing insurance carriers are unable or unwilling to provide us with sufficient insurance coverage, and if insurance coverage is not available from another source (for example, a government entity), our insurance costs may increase and may result in our being in breach of regulatory requirements or contractual arrangements requiring that specific insurance be maintained, which may have a material adverse effect on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operation of aircraft is often affected by factors beyond our control including: air traffic congestion at airports; air traffic control inefficiencies; increased and changing security measures; changing regulatory and governmental requirements; new or changing travel-related taxes; any of which could have a material adverse effect on our business, results of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aircraft operations are affected by factors beyond our control, including air traffic congestion at airports, air traffic control inefficiencies and staffing shortages, increased and changing security measures, changing regulatory and governmental requirements, and new or changing travel-related taxes. For example, in November 2024, the FAA announced that a shortage of air traffic controllers had significantly impacted flight traffic. Factors that cause flight delays could prevent us from effectively transporting organs in a timely manner, which could have a material adverse effect on our business, results of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the federal government singularly controls all U.S. airspace, and aviation operators are completely dependent on the FAA to operate that airspace in a safe, efficient and affordable manner. The air traffic control system, which is operated by the FAA, in the U.S., faces challenges in managing the growing demand for U.S. air travel and attracting air traffic controllers. U.S. air-traffic controllers often rely on outdated technologies that routinely overwhelm the system and compel aviation operators to fly inefficient, indirect routes resulting in delays and increased operational cost. For example, in January 2023, the FAA experienced an unexpected technical system outage that resulted in all domestic commercial air traffic being temporarily grounded for several hours, which adversely impacted airlines and private aviation industry operators during the duration of the outage. There have also been recent instances where understaffing of certain U.S. air traffic control systems have led to flight delays and cancellations, and resulted in significant costs to aviation operators. These instances are capable of repetition and may harm our business and results of operations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discussions regarding privatization of the U.S. air traffic control system are ongoing, which could adversely affect our business. Further, implementation of the Next Generation Air Transport System by the FAA could result in changes to aircraft routings and flight paths that could lead to increased noise complaints and lawsuits, resulting in increased costs. Future changes to air traffic control systems or protocols could lead to increased costs, legal issues or operational inefficiencies, in each case which adversely impact our business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aircraft operations are subject to significant governmental regulation and changes in government regulations imposing additional requirements and restrictions on our aircraft operations could increase our operating costs and result in service delays and disruptions.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interstate air carriers, including us, are subject to regulation by the DOT, the FAA and other governmental agencies. The laws enforced by these agencies impose substantial costs on us, may reduce air travel demand, and also may restrict the manner in which we conduct our business now or in the future, resulting in a material adverse effect on our operations. We also incur substantial costs in maintaining our current certifications and otherwise complying with the laws and regulations to which we are subject, including airworthiness directives. An adverse decision by a federal agency may have a material adverse effect on our operations, such as an FAA decision to ground, or require time consuming inspections of or maintenance on, all or any of our aircraft. Our business may also be affected if government agencies shut down for any reason or if there is significant automation or another operational disruption, such as those attributed to air traffic control or weather.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are subject to restrictions imposed by federal law on foreign ownership of U.S. airlines and aircraft including oversight by the DOT in maintaining our status as a U.S. Citizen (as such term is set forth in Title 49, U.S. Code, Section 40102 and administrative interpretations thereof issued by the DOT or its predecessor or successors, or as the same may be from time to time amended). A failure to comply with or changes to these restrictions may materially adversely affect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Revocation of permits, approvals, authorizations and licenses.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aircraft operations require a variety of federal, state and local permits, approvals, authorizations and licenses. Our aircraft operations are subject to regulations and requirements and may be adversely affected if we are unable to comply with existing regulations or requirements or if changes in applicable regulations or requirements occur.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aircraft maintenance costs will increase as our fleet ages.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aircraft maintenance costs will increase as our fleet ages. Currently, most of the parts on our aircraft are under multi-year warranties, but many of these warranties will expire in the coming years. If any maintenance provider with whom we have a flight hour agreement fails to perform or honor such agreements, we could incur higher interim maintenance costs until we negotiate new agreements. Any unexpected increase in maintenance costs may negatively impact our financial position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risks associated with climate change, including the potential increased impacts of severe weather events on our operations and infrastructure.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potential physical effects of climate change, such as increased frequency and severity of storms, floods, fires, and other climate-related events, could affect our operations, infrastructure, and financial results. Operational impacts, such as the delay or cancellation of flights or physical damage to our aircraft, could result in loss of revenue from our NOP and reputational harm if we are unable to fulfil customer demand for our NOP. In particular, severe weather events in the Dallas area may have an adverse impact on our ability to utilize our Dallas facility for maintenance of our aircraft and we would be required to rely on third parties to complete required aircraft maintenance. In addition, certain airports that we frequently utilize and certain of our facilities are in locations susceptible to the impacts of storm-related flooding, fires and other climate-related events, which could result in increased costs and loss of revenue from NOP customers those regions.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Failure to maintain an ethical and inclusive corporate culture, or damage to our reputation, could have a material adverse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strive to create a culture in which our employees act with integrity, treat each other with respect and consider themselves empowered to report suspected misconduct. Our ability to attract and retain a high-quality workforce depends upon our commitment to a diverse and inclusive environment, along with our perceived trustworthiness and ethics. Issues can arise in any number of circumstances, including employment-related offenses such as workplace harassment and discrimination, regulatory noncompliance, failure to properly use and protect data and systems, and violations of our employee policies, as well as from actions taken by regulators or others in response to such conduct. Addressing allegations of misconduct detracts focus from business operations and is expensive. We have adopted policies to promote compliance with laws and regulations as well as to foster a respectful workplace for all employees. These policies, which include a code of business conduct and ethics, an insider trading policy, a Regulation FD policy, a sexual harassment policy, a regulated fraternization policy, and a whistleblower policy, are a component of our effort to minimize employee misconduct as well as activities that frequently result in allegations of misconduct. We continuously assess our policies and provide training to our employees, but our employees may fail to abide by these policies. In addition to damaging our reputation, actual or alleged misconduct could affect the confidence of our shareholders, regulators and other parties and could have a material adverse effect on our business, financial condition and operating results.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Failure to protect our information technology infrastructure against cyber-based attacks, network security breaches or data corruption could materially disrupt our operations and adversely affect our business and operating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efficient operation of our business depends on our information technology systems. We rely on our information technology systems to effectively manage sales and marketing data, accounting and financial functions, inventory production and management, product development tasks, clinical and other data required to support NOP missions, customer service and logistics activities, and technical support functions. However, our information technology systems are vulnerable to damage or interruption, including from earthquakes, fires, floods and other natural disasters; terrorist attacks; cyber-based attacks; attacks by computer viruses or hackers; insider sabotage; ransomware; power losses, computer system or data network failures; security breaches and data corruption. The failure of either our or our service providers’ information technology could disrupt our entire operation or result in decreased sales, increased overhead costs and product shortages, all of which could materially and adversely affect our business, financial condition, operating results, reputation, regulatory compliance, litigation exposure, cash flows and prospects. In addition, our software systems include cloud-based applications that are hosted by third-party service providers with security and information technology systems subject to similar risks, and we may not have accurate or complete information about the risks they face or the security of their systems.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the cyber-threat landscape evolves, attacks are growing in frequency, sophistication and intensity, are becoming increasingly difficult to detect, and are being perpetrated by a broadening array of threat actors, including criminal hackers, hacktivists, nation-states and state-sponsored actors, perpetrators of industrial espionage and sabotage, and inside threats. New and expanding threats to our information systems, including computer viruses, ransomware and phishing attacks, insider attacks, and more sophisticated and targeted cyber-related attacks, as well as cybersecurity failures resulting from human error and technological errors, pose a risk to the security of our systems and the systems of our customers, business partners and suppliers, as well the confidentiality, availability and integrity of the data we process. For example, during the second quarter of 2023, we became aware of an infiltration of portions of our information technology network. As part of our investigation into this incident, we engaged outside security experts and identified unauthorized theft of data although no sensitive data were involved. While the impact from this incident was not material to the operations of the Company, future impacts from such threats may be material. While we maintain insurance coverage for these types of incidents, such policies, may not provide coverage for, or offset the costs of responding to and remediating such incidents or any other liability that may arise from such incident.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access to sensitive, confidential or personal data or information that is subject to privacy and security laws, regulations or customer-imposed controls. Despite our implementation of controls designed to protect our systems and sensitive, confidential or personal data or information, the infiltration of our information technology systems, including security breaches, theft, misplaced, lost or corrupted data, employee errors and/or malfeasance (including misappropriation by departing employees) could lead to the compromise of sensitive, confidential or personal data or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attempt to mitigate these risks by employing a number of measures, including employee training and maintenance of protective systems, such measures did not prevent the infiltration described above and may not prove adequate to prevent cyberattacks, and we remain potentially vulnerable to additional known or unknown threats. The impact from such threats could be material. A significant cybersecurity incident could result in a range of potentially material negative consequences for us, including lost revenue;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business delays, service or system disruptions, damage to equipment and injury to persons or property, and increased insurance premiums. The costs and operational consequences of defending against, preparing for, responding to and remediating an incident may be substantial. Further, we could be exposed to litigation, regulatory enforcement or other legal action as a result of an incident, carrying the potential for damages, fines, sanctions or other penalties, as well injunctive relief requiring costly compliance measures. Any cybersecurity incident could also impact our brand, harm our reputation and adversely impact our relationship with our customers, employees and stockholders.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Economic, political and other risks associated with foreign operations could adversely affect our international sales and our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we market the OCS in countries in Europe, Asia-Pacific, Central Asia and Canada and plan to market it in other international markets, we are subject to risks associated with doing business internationally. During the years ended December 31, 2024, 2023 and 2022, 3%, 6% and 10%, respectively, of our revenue was generated from customers located outside of the United States. We anticipate that international sales will continue to represent a portion of our total sales. In addition, some of our employees and suppliers are located outside of the United States. Accordingly, our results of operations could be harmed by a variety of factors, including: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a country’s or region’s political or economic conditions;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longer payment cycles of foreign customers and difficulty of collecting receivables in foreign jurisdictions;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different or changing regulatory or insurance practices regarding reimbursement for transplant procedures;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difficulties in developing effective marketing campaigns in unfamiliar foreign countries;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trade protection measures, import or export licensing requirements or customs clearance and shipping delays;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fluctuations in foreign currency exchange rates;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differing tax laws and changes in those laws in the countries in which we are subject to tax, or potentially adverse tax consequences, including the complexities of foreign value-added tax systems, tax inefficiencies related to our corporate structure, and restrictions on the repatriation of earnings;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international legislation or regulations governing the approval or clearance process for the OCS or ongoing compliance requirements;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differing business practices associated with foreign operations;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difficulties in staffing and managing our international operations;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political, social, and economic instability abroad, terrorist attacks, and security concerns in general;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burdens of complying with a wide variety of foreign laws and different legal standards, such as anti-bribery laws, including the FCPA, and UK Bribery Act of 2010, or the Bribery Act, data privacy requirements, labor laws and anti-competition regulations;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differing protection of intellectual property;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increased financial accounting and reporting burdens and complexities.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could materially and adversely affect our business, financial condition, operating results, cash flows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one or more of these risks are realized, our business, financial condition, operating results, cash flows and prospects could be materially and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success depends on our ability to retain our founder and President and Chief Executive Officer and other members of our management team and to attract, retain and motivate qualified personnel.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success depends on our continued ability to attract, retain and motivate highly qualified clinicians, surgeons, scientists, engineers, managers and sales personnel. Dr. Waleed H. Hassanein, our founder and President and Chief Executive Officer, and other members of our management team are important to the success of our operations. All of these key employees, including Dr. Hassanein, are at-will employees and can terminate their employment with us at any time. The loss of any of these key members of our management team and, in particular, Dr. Hassanein, could impede our achievement of our research, development and commercialization objectives. We maintain a “key person” insurance policy on the life of Dr. Hassanein, but we do not maintain such insurance on any of our other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expected growth will require us to hire a significant number of qualified personnel, including clinical development, regulatory, sales, marketing, engineering, scientific, clinical, logistics and aviation support and administrative personnel. There is intense competition from other companies and research and academic institutions for qualified personnel in the areas of our activities. If we cannot continue to attract and retain, on acceptable terms, the qualified personnel necessary for the continued development of our business, we might not be able to sustain our operations or become profitable.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failure to manage our growth effectively could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manage our anticipated future growth effectively, we must enhance our manufacturing and sterilization capabilities, information technology infrastructure and financial and accounting systems and controls. Our growth will require significant capital expenditures and may divert financial resources from other projects, such as the development of the OCS for transplants involving additional indications or other organs. Operating our NOP requires significant capital expenditures, including the acquisition and maintenance of our fleet of aircraft. If we are unable to effectively manage our growth, our expenses may increase more than expected, our revenue could grow more slowly than expected and we might not be able to achieve our research and development and commercialization goals, which in turn could materially and adversely affect our business, financial condition, operating results, cash flows and prospects.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infringe or are alleged to infringe the intellectual property rights of third parties or are otherwise subject to litigation or other proceedings regarding our intellectual property rights, our business or competitive position could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commercial success will depend in part on not infringing, misappropriating or otherwise violating the patents or other intellectual property or proprietary rights of others. Significant litigation regarding patent and other intellectual property rights occurs in the medical device industry. Third parties may claim that the OCS or aspects or uses of the OCS infringe intellectual property rights for which we do not hold licenses or other rights in the United States and abroad. Third parties in both the United States and abroad may have applied for or obtained, or may in the future apply for and obtain, patents that will prevent, limit or otherwise interfere with our ability to make, use and sell our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Given the vast number of patents in our field of technology, we cannot be certain that we do not infringe existing patents or that we will not infringe patents that may be granted in the future. For example, patent applications in the United States and elsewhere can be pending for many years before issuance, or unintentionally abandoned patents or applications can be revived, so there may be applications of others now pending or recently revived patents of which we are unaware. These applications may later result in issued patents, or the revival of previously abandoned patents, that will prevent, limit or otherwise interfere with our ability to make, use or sell our products. Third parties may, in the future, assert claims that we are employing their proprietary technology without authorization, including claims from competitors or from non-practicing entities that have no relevant product revenue and against whom our own patent portfolio may have no deterrent effect. As we continue to commercialize our products in their current or updated forms, launch new products and enter new markets, competitors may claim that one or more of our products infringe their intellectual property rights as part of business strategies designed to impede our successful commercialization and entry into new markets. The large number of patents, the rapid rate of new patent applications and issuances, the complexities of the technology involved, and the uncertainty of litigation may increase the risk of business resources and management’s attention being diverted to patent litigation.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any third-party patents were asserted against us, even if we believe such claims are without merit, there is no assurance that a court would find in our favor on questions of infringement, validity, enforceability, or priority. A court of competent jurisdiction could hold that the asserted third-party patents are valid, enforceable, and infringed, which could materially and adversely affect our ability to commercialize our products. In order to successfully challenge the validity of any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may choose or, if we are found to infringe a third party’s patent rights and we are unsuccessful in demonstrating that such patents are invalid or unenforceable, we could be required to obtain a license from such third party to continue developing, manufacturing, and marketing any of our products.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also could be forced, including by court order, to cease developing, manufacturing, and commercializing the infringing technology or products. In addition, we could be found liable for significant monetary damages, including treble damages and attorneys’ fees if we are found to have willfully infringed a patent or other intellectual property right. There could also be public announcements of the results of hearing, motions, or other interim developments. If securities analysts or investors perceive these results to be negative, it could have a material adverse effect on the price of shares of our common stock. Claims that we have misappropriated the confidential information or trade secrets of third parties could have a similar material adverse effect on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industry has experienced substantial litigation and other proceedings regarding patent and other intellectual property rights and lawsuits to protect or enforce our patents and other intellectual property rights could be expensive, time-consuming and unsuccessful.</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addition to infringement claims against us, we may become a party to other types of patent litigation and other proceedings, including post-grant proceedings declared by the United States Patent and Trademark Office, or USPTO, and opposition proceedings in the European Patent Office, regarding intellectual property rights with respect to the OCS. For example, we may be subject to a third-party preissuance submission of prior art to the USPTO, or become involved in post-grant review procedures, oppositions, derivations, reexaminations, </w:t>
      </w:r>
      <w:r>
        <w:rPr>
          <w:rFonts w:ascii="Times New Roman" w:hAnsi="Times New Roman"/>
          <w:i/>
          <w:color w:val="000000"/>
          <w:sz w:val="20"/>
        </w:rPr>
        <w:t>inter partes</w:t>
      </w:r>
      <w:r>
        <w:rPr>
          <w:rFonts w:ascii="Times New Roman" w:hAnsi="Times New Roman"/>
          <w:color w:val="000000"/>
          <w:sz w:val="20"/>
        </w:rPr>
        <w:t xml:space="preserve"> review or interference proceedings, in the United States or elsewhere, challenging our patent rights or the patent rights of others.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The cost to us of any patent litigation or other proceeding, even if resolved in our favor, could be substantial.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Patent litigation and other proceedings may also absorb significant management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competitors and other third parties may infringe, misappropriate or otherwise violate our patents and other intellectual property rights. To counter infringement or unauthorized use, we may be required to file infringement claims, which can be expensive and time-consuming and divert the time and attention of our management. In addition, many of our adversaries in these proceedings may have the ability to dedicate substantially greater resources to prosecuting these legal actions than we can.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court may disagree with our allegations and may refuse to stop the other party from using the technology at issue on the grounds that our patents do not cover the third-party technology in question. Furthermore, the other party could counterclaim that we infringe their intellectual property or counterclaim that a patent we have asserted against them is invalid or unenforceable, or both. In patent litigation in the United States, counterclaims challenging the validity, enforceability or scope of asserted patents are commonplace. Similarly, third parties may initiate legal proceedings against us seeking a declaration that certain of our intellectual property rights are non-infringed, invalid, or unenforceable. The outcome of any such proceeding is generally unpredictable.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 adverse result in any litigation proceeding could put one or more of our patents at risk of being invalidated or interpreted narrowly. If a defendant were to prevail on a legal assertion of invalidity or unenforceability of our patents covering one of our products, we would lose at least part, and perhaps all, of the patent protection covering such product. Competing products may also be sold in other countries in which our patent coverage might not exist or be as strong. Any of these outcomes would have a material adverse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establish, maintain or adequately protect our intellectual property rights relating to the OCS, the commercial value of the OCS will be adversely affected and our competitive position could be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success and ability to compete depend in part upon our ability to establish and maintain intellectual property rights covering the OCS in the United States and other countries. We own several patents and patent applications in the United States and corresponding patents and patent applications in a number of foreign jurisdictions. With respect to the patents and patent applications that we own, any patents that have or may issue from our currently issued or pending patent applications would be expected to expire between 2025 and 2043, assuming all required fees are paid.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However, we cannot provide any assurances that any of our patents have, or that any of our pending patent applications that mature into issued patents will include, claims with a scope sufficient to protect our OCS technology, any additional features we develop for our OCS technology or any new products. Other parties may have developed technologies that may be related to or competitive with our system, may have filed or may file patent applications and may have received or may receive patents that overlap or conflict with our patent applications, either by claiming the same methods or devices or by claiming subject matter that could dominate our patent position. The patent positions of medical device companies, including our patent position, may involve complex legal and factual questions, and, therefore, the scope, validity and enforceability of any patent claims that we may obtain cannot be predicted with certainty. Our pending and future patent applications may not issue as patents or, if issued, may not issue in a form that will be advantageous to us. Even if issued, our patents may be challenged, narrowed, held unenforceable, invalidated or circumvented, or others could challenge the inventorship, ownership or enforceability of our patents and patent applications, any of which could limit our ability to stop competitors from marketing similar products or limit the term of patent protection we may have for our products, or cause us to lose our right to manufacture, market and sell the OCS products or components of the OCS products. Additionally, the Leahy-Smith America Invents Act, or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became effective on March 16, 2013. It is not clear what, if any, impact the Leahy-Smith Act will have on the operation of our business. For example, the Leahy-Smith Act provides that an administrative tribunal known as the Patent Trial and Appeals Board, or PTAB, provides a venue for challenging the validity of patents at a cost that is much lower than district court litigation and on timelines that are much faster. Proceedings challenging our patents could result in either loss of the patent or denial of the patent application or loss or reduction in the scope of one or more of the claims of the patent or patent application. Furthermore, an adverse decision in an interference proceeding can result in a third party receiving the patent right sought by us, which in turn could affect our ability to commercialize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either patent laws or in interpretations of patent laws in the United States and other countries may diminish the value of our intellectual property or narrow the scope of our patent protection, which in turn could diminish the commercial value of the OCS. The laws of some foreign countries do not protect our proprietary rights to the same extent as the laws of the United States, and we may encounter significant problems in protecting our proprietary rights in these countries.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degree of future protection for our proprietary rights is uncertain, and we cannot ensure that: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our patents, or any of our pending patent applications, if issued, will include claims having a scope sufficient to protect the OCS;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our pending patent applications will issue as patents;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be able to successfully commercialize our products on a substantial scale, if approved, before any relevant patents we may have expire;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were the first to make the inventions covered by each of our patents and pending patent applications;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were the first to file patent applications for these inventions;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others will not develop similar or alternative technologies that do not infringe our patents; any of our patents will be found to ultimately be valid and enforceable;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patents issued to us will provide a basis for an exclusive market for our commercially viable products, will provide us with any competitive advantages or will not be challenged by third parties;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develop additional proprietary technologies or products that are separately patentable; 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commercial activities or products will not infringe upon the patents of others.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obtain patent term extension under the Hatch-Waxman Act, our business may be materially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Depending upon the timing, duration and specifics of FDA marketing approval of our products, one or more of the U.S. patents we own or license may be eligible for limited patent term restoration under the Drug Price Competition and Patent Term Restoration Act of 1984, referred to as the Hatch-Waxman Act. The Hatch-Waxman Act permits a patent restoration term of up to five years for a patent covering an approved product as compensation for effective patent term lost during product development and the FDA regulatory review process. However, even if, at the relevant time, we have an issued patent covering our product, we may not be granted an extension if we were, for example, to fail to exercise due diligence during the testing phase or regulatory review process, to fail to apply within applicable deadlines or prior to expiration of relevant patents or otherwise to fail to satisfy applicable requirements. Moreover, the time period of the extension or the scope of patent protection afforded could be less than we request. Only one patent per approved product can be extended, the extension cannot extend the total patent term beyond 14 years from approval and only those claims covering the approved product, a method for using it or a method for manufacturing it may be extended. If we are unable to obtain patent term extension or restoration or the term of any such extension is less than we request, the period during which we can enforce our patent rights for the applicable product will be shortened and our competitors may obtain approval of competing products following our patent expiration. As a result, our ability to generate revenue could be materially adversely affected. Further, if this occurs, our competitors may take advantage of our investment in development and trials by referencing our clinical and preclinical data and launch their product earlier than might otherwise be the case. If we do not have adequate patent protection or other exclusivity for our products, our business, financial condition or results of operations could be materially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unable to enforce our intellectual property rights throughout the world.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could make it difficult for us to stop infringement of our foreign patents, if obtained, or the misappropriation of our other intellectual property rights. For example, some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our intellectual property.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protect the confidentiality of our trade secrets, the value of the OCS and our business and competitive position could be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patent protection, we also rely upon trade secret protection, as well as non-disclosure agreements and invention assignment agreements with our employees, consultants and third parties, to protect our confidential and proprietary information. 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 could prevent legal recourse by us. We also have agreements with our employees, consultants and third parties that obligate them to assign inventions made in the course of their work for us to us, however these agreements may not be self-executing, not all employees or consultants may enter into such agreements, or employees or consultants may breach or violate the terms of these agreements, and we may not have adequate remedies for any such breach or violation. If any of our intellectual property or confidential or proprietary information, such as our trade secrets, were to be disclosed or misappropriated, or if any such information was independently developed by a competitor, the value of the OCS and our business and competitive position could be harmed.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our employees and consultants were previously employed at or engaged by other medical device, biotechnology or pharmaceutical companies, including our competitors or potential competitors, hospitals or other third parties.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competitors or other third parties. Additionally, we may be subject to claims from third parties challenging our ownership interest in or inventorship of intellectual property we regard as our own, based on claims that our agreements with employees or consultants obligating them to assign intellectual property to us are ineffective or in conflict with prior or competing contractual obligations to assign inventions to another employer, to a former employer, or to another person or entity. Litigation may be necessary to defend against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or a settlement payment, a court could prohibit us from using technologies, features or other intellectual property that are essential to our products, if such technologies or features are found to incorporate or be derived from the trade secrets or other proprietary information of the former employers. An inability to incorporate technologies, features or other intellectual property that are important or essential to our products could have a material adverse effect on our business and competitive position,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materially and adversely affect our business, financial condition, operating results, cash flows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Even after approval for the OCS, we are subject to continuing regulation by regulatory authorities and entities in the United States and other countries, and if we fail to comply with any of these regulations, our business could suffer.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after approval of the OCS for a specific indication, we are subject to extensive continuing regulation by the FDA and other regulatory authorities and entities. We are subject to Medical Device Reporting regulations, which require us to report to the FDA if we become aware of information that reasonably suggests our product may have caused or contributed to a death or serious injury, or has malfunctioned and the device or a similar device we market would likely cause or contribute to a death or serious injury if the malfunction were to recur. We must report corrections and removals to the FDA where the correction or removal was initiated to reduce a risk to health posed by the device or to remedy a violation of the FDCA caused by the device that may present a risk to health, and maintain records of other corrections or removals. The FDA closely regulates promotion and advertising and all claims that we make for the OCS. If the FDA determines that our promotional materials, training or advertising activities constitute promotion of an unapproved use of the OCS, it could request that we cease or modify our training or promotional materials or subject us to regulatory enforcement 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and state authorities have broad enforcement powers. Our failure to comply with applicable regulatory requirements could result in enforcement actions by the FDA or state agencies, which may include any of the following sanctions: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untitled letters, warning letters, fines, injunctions, consent decrees and civil penalties;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recall, suspension or termination of distribution, administrative detention, injunction or seizure of organ-specific OCS Consoles or disposable sets;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customer notifications or repair, replacement or refunds;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operating restrictions or partial suspension or total shutdown of production;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refusing or delaying our requests for premarket approval of new products or for modifications to existing products, and refusing or delaying our requests for PMAs for new intended uses of the OCS;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withdrawing or suspending PMA approvals that have already been granted, resulting in prohibitions on sales of our products;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FDA refusal to issue certificates to foreign governments needed to export products for sale in other countries;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criminal prosecution.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corrective action, whether voluntary or involuntary, as well as potentially defending ourselves in a lawsuit, will require the dedication of our time and capital, distract management from operating our business, and may harm our reputation and financial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our currently marketed OCS Lung, OCS Heart and OCS Liver, as part of the conditions of approval, we must complete PMA post-approval studies. For example, the OCS Lung TOP Registry must be completed, which is a prospective, single-arm, multi-center, observational study designed to evaluate short- and long-term safety and effectiveness of the OCS Lung for both donor lungs currently utilized and unutilized for transplantation. Our TOP Registry entails submission of regular reports to the FDA. Failure to comply with the conditions of approval can result in material adverse action, including withdrawal of the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are required to comply with strict post-marketing obligations that accompany the affixing of the CE mark to medical devices in the European Union. These include the obligation to report incidents which meet the criteria for reporting, and to provide periodic safety update reports and trend reports. Additionally, national competent authorities in the European Union also closely monitor the marketing programs implemented by device companies. The obligations that companies must fulfill concerning premarketing approval of promotional material vary among member states of the European Union. A failure to comply with our obligations in marketing and promoting the OCS in the European Union could harm our business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certain changes and other events with respect to regulatory approvals may cause an event of default under our CIBC Credit Agreement. See “Item 7. Management’s Discussion and Analysis of Financial Condition and Results of Operations—Liquidity and Capital Resources—Long-term Debt” in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products have been and may in the future be subject to product recalls that could harm our reputation and could materially and adversely affect our business, financial condition, operating results, cash flows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OCS must be manufactured in accordance with federal and state regulations, and we or any of our suppliers or third-party manufacturers could be forced to recall our installed systems or suspend or terminate production if we fail to comply with these regulations. The FDA and similar foreign governmental authorities have the authority to require the recall of commercialized products in the event of material deficiencies or defects in design, manufacture or labeling. In the case of the FDA, the recall order must be based on an FDA finding that there is a reasonable probability that the device would cause serious adverse health consequences or death. In addition, foreign governmental bodies have the authority to require the recall of our products in the event of material deficiencies or defects in design or manufacture. Manufacturers may, under their own initiative, recall a product if any material deficiency in a device is found. A government-mandated or voluntary recall by us could occur as a result of component failures, security failures, manufacturing errors, design or labeling defects or other deficiencies and issues. Recalls of any of our products would divert managerial and financial resources and have an adverse effect on our financial condition and results of operations. The FDA requires that recalls initiated to reduce a risk to health posed by the device or to remedy a violation of the FDCA caused by the device that may present a risk to health be reported to the FDA within 10 working days after the recall is initiated. Companies are required to maintain records of recalls, even if they are not reportable to the FDA. We may initiate voluntary recalls involving our products in the future that we determine do not require notification of the FDA. If the FDA disagrees with our determinations, we could be required to report those recalls. A recall announcement could harm our reputation with customers and negatively affect our sales. Additionally, any corrective action, whether voluntary or involuntary, as well as defending ourselves in a lawsuit, will require the dedication of our time and capital, distract management from operating our business and may harm our reputation and financial results. In addition, the FDA could take enforcement action for failing to initiate a recall or to report recalls when they were conducted, including warning letters, untitled letters, administrative actions, criminal prosecution, imposition of civil monetary penalties, seizure of our products or delay in clearance or approval of future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voluntarily recalled certain OCS products from clinical sites in the past and may need to take similar actions in the future, which may result in notices to regulatory agencies in other jurisdictions. As we continue to expand commercialization of our products and sell OCS products to new customers, the impact of any future product recall increases, and any future product recalls would require greater administrative and response efforts than historical product recalls.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Internationally, the regulatory requirements relating to product defects may vary. A regulatory authority in a specific country may request or require a product recall while others may not. Within the European Union, competent authorities are required without delay to take corrective action against a device (including withdrawal/recall of a device) and notify other national competent authorities, the European Commission and notified bodies (as applicable) of any devices that present an unacceptable risk to the health or safety of patients, users or other persons, or other aspects of the protection of public health. Other non-compliance with the MDR may also lead to corrective action being taken and notifications being sent if the non-compliance is not rectified within a given time period (as determined by the competent authority). Therefore, a recall in one EU member state may lead to recalls in the rest of the European Union.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maintain necessary FDA approvals for the OCS, or obtain necessary FDA approval for future uses of the OCS, we will not be able to commercially sell and market the OCS.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OCS products are medical devices subject to extensive regulation in the United States by the FDA and other federal, state and local authorities. The FDA regulates the design, development, testing, manufacturing, labeling, selling, promoting, distributing, importing, exporting and shipping of the OCS. We have obtained a PMA for each of the OCS Lung, OCS Liver and OCS Heart for both DBD and DCD indications. We received 510(k) clearances for the OCS Lung Solution for cold flush, storage and transportation of donor lungs in July 2021, for the OCS Lung Donor Flush Set in November 2022, and for the OCS Heart Leukocyte Reducing Filter in October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PMA approval could be withdrawn or other restrictions imposed if post- market data demonstrate safety issues or inadequate performance. The FDA can also require removal of 510(k) cleared devices from the market in case of safety issues.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not able to maintain the necessary regulatory approvals for the OCS, or obtain the necessary regulatory approvals or clearances for future products on a timely basis or at all, our financial condition and results of operations would suffer, possibly materially, and our business might fail.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maintain the CE mark in the European Union, Northern Ireland and the UKCA mark (as applicable) in Great Britain, we will not be able to commercially sell and market the OCS in the EU or UK.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European Union, we have the right to affix a CE mark for the sale of the OCS Lung, OCS Heart and OCS Liver for lung, heart and liver transplants, respectively. Our notified body, BSI, is based in the Netherlands and issues the certificates that allow CE marking of the OCS products. Our sales in the EU are dependent on obtaining and maintaining the CE mark certifications for each of our OCS products. As required by the MDR, we received recertification of the CE mark in September 2022 for each of the OCS Heart and OCS Lung systems, which includes the OCS Console, the OCS disposables, and the OCS solution additives. We also received the recertification of the CE mark in September 2022 for the OCS Liver Console and disposables. We received the CE mark for the OCS Liver combined with our solution additives under the MDR in May 2023, with an effective date of April 2023. In order to be able to continue to use the CE mark we will have to meet the conditions set out in the MDR.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Post-Brexit the MDR applies in Northern Ireland in accordance with the Northern Ireland Protocol but does not apply in Great Britain (England, Wales and Scotland). The UK Medical Devices Regulations 2002 (UK MDR 2002) provided a transitional period under which the UK will recognize EU CE marks and the MHRA has confirmed that this will apply potentially until June 30, 2030 (subject to certain conditions and depending on the type of device). To be placed on the market in Great Britain after this date, medical devices must have undergone a conformity assessment in accordance with the UK MDR 2002 (as amended or replaced) and have the UKCA mark affixed. However, even devices that benefit from the transition period must still comply with the other requirements of the UK MDR 2002; for example, there are broader registration requirements with the Medicines and Healthcare products Regulatory Agency, or the MHRA, and if the manufacturer is located outside the UK, a UK Responsible Person must be appointed. The MHRA is currently consulting on an International Reliance Scheme for UK recognition of international regulatory approvals of certain medical devices, including CE marks.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continue to place products on the market in the European Union and United Kingdom, we will need to meet the conditions set out in the EU MDR or UK MDR 2002, as applicable. We might not be able to continue to place the devices on the market in the European Union and/or United Kingdom for any current use of the OCS if we are not able to maintain certifications of our products for their current use under the MDR and/or obtain certification under the UK MDR 2002 when required. If any variation in the uses for which the CE/UKCA mark has been affixed to the OCS requires us to perform further research or to modify the technical documentation required to affix the CE/UKCA mark, our revenue and operating results could be adversely affected and our reputation could be harmed.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obtain and maintain regulatory approval in foreign jurisdictions, our market opportunities will be limited.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FDA clearance or approval or a CE mark does not ensure approval by regulatory authorities in other countries, and approval by one foreign regulatory authority does not ensure approval by regulatory authorities in other foreign countries. However, the failure to obtain clearance or approval in one jurisdiction may have a negative impact on our ability to obtain clearance or approval elsewhere. If we do not obtain or maintain necessary market authorizations to commercialize our products in markets outside the United States, it would negatively affect our overall market penetration. For example, if, as a result of manufacturing error, the efficacy of our products does not meet the standards claimed in the accompanying instructions for use, regulatory authorities could prevent our products from being placed on the market in the European Union, Northern Ireland, Great Britain and elsewhere.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transplant centers and hospitals cannot obtain adequate reimbursement or funding from governments or third-party payors for purchases of the OCS and additional disposable sets and for costs associated with procedures that use the OCS and the NOP, our prospects for generating revenue and maintaining profitability will suffer materially.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prospects for generating revenue and maintaining profitability depend heavily upon the availability of adequate reimbursement or funding in both the United States and other markets for purchases of the OCS and for organ transplant procedures that use the OCS and the NOP.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Medicare generally reimburses the facilities in which transplant procedures are performed based upon prospectively determined amounts. For hospital inpatient treatment, the Medicare prospective payment generally is determined by the patient’s condition and other patient data and procedures performed during the patient’s hospital stay, using a classification system known as MS-DRGs. Prospective rates are adjusted for, among other things, regional differences and whether the hospital is a teaching hospital. Because prospective payments are based on predetermined rates and may be less than a hospital’s actual costs in furnishing care, hospitals have incentives to lower their inpatient operating costs by utilizing products, devices and supplies that will reduce the length of patients’ hospital stays, decrease labor or otherwise lower their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these MS-DRG-based payments, Medicare reimburses transplant centers for “reasonable and necessary” organ acquisition costs, which are considered “pass-through” costs from the prospective payment system, and are not based on the payments for the applicable MS-DRG. Pass-through organ acquisition costs include services required for the acquisition of an organ, such as tissue typing, organ preservation, transport of organs, donor evaluation and other acquisition costs. The separate payments for these costs are determined on a reasonable cost basis established through the transplant center’s Medicare cost report. The costs incurred by transplant centers for the organ-specific OCS Console, OCS Perfusion Sets and OCS Solutions are classified as organ acquisition costs for which Medicare provides additional reimbursement. However, Medicare does not reimburse for items determined not to be reasonable and necessary for diagnosis or treatment of an illness or injury. The CMS and Medicare contractors who administer Medicare around the country have substantial discretion in determining whether the OCS is reasonable and necessary in this context. Either CMS or a Medicare contractor might determine that Medicare will not cover and reimburse for the cost of the OCS in the absence of reliable clinical data evidencing the benefits to patients of the use of the OCS. The data we collect from our prior, ongoing and planned clinical studies and patient registry may not be sufficient for this purpose in a coverage determination by CMS or a Medicare contractor. Accordingly, Medicare might not reimburse transplant centers for all or a portion of the cost of the OCS. We believe that private insurers and other public insurers in the United States generally will follow the coverage and payment policies of Medicare.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Outside of the United States, reimbursement and funding systems vary significantly by country, and within some countries, by region. Many foreign markets have government managed healthcare systems that govern reimbursement and funding for medical devices and procedures. In the European Union member states, the costs associated with organ transplant procedures may be paid for by national insurance and in some cases private insurers or by both national insurance and private insurers, depending on the priorities established by individual programs. These reimbursement arrangements are subject to complex rules and regulations at the national and regional levels that can vary between member states of the European Union and may require that we perform additional clinical studies to demonstrate that the OCS is superior to existing preservation methods. We have no studies currently planned to collect such clinical data, and any studies of this kind likely would be expensive and lengthy and may not ultimately produce results adequate to secure reimbursement. In some cases, we might not be able to secure adequate reimbursement for the OCS at all or until we have collected additional clinical data supporting the benefits associated with the use of the OCS in transplant procedures. Hospitals or surgeons in countries or regions where separate additional reimbursement or funding for the OCS is not available may determine that the benefits of the OCS do not or will not outweigh the cost of the OCS. Alternatively, we may be required to enter into risk sharing arrangements with payers.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Adoption of our products in the European Union may be hindered if the adoption impedes or otherwise compromises our customer’s compliance with the requirements of Directive 2010/53/EU (formerly Directive 2010/45/EU), and the Quality and Safety of Organs Intended for Transplantation Regulations 2012 (Statutory Instrument (SI) 2012 No. 1501) (the Regulations) in the United Kingdom which imposes certain standards on procurement, preservation and transport of organs intended for transplantation. Even where reimbursement or funding is available, in some foreign countries, particularly in the European Union, the pricing of medical devices is subject to governmental control and a determination of affordability for medical devices to be accessed. In these countries, reimbursement and pricing negotiations with governmental authorities can take considerable time after the CE marking of a product. For example, some foreign reimbursement systems provide for limited payments in a given period and, therefore, result in extended payment periods, which could hinder adoption of the OCS for use in transplantation, limiting sales. If reimbursement of our products is unavailable or limited in scope or amount, or if pricing is set at unsatisfactory levels, it may not be profitable to sell our products in certain foreign countries, which could negatively affect the long-term growth of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existing reimbursement and funding arrangements of governmental programs and other third-party payors provide for sufficient payments to make purchases of the OCS cost-effective for hospitals, the laws and regulations governing these arrangements are subject to change. The continuing efforts of governments, insurance companies and other payors of healthcare costs to contain or reduce these costs could lead to legislative or regulatory reform of the United States or foreign reimbursement and funding systems in a manner that significantly reduces or eliminates reimbursement for the OCS or for transplant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hospitals in the United States or the European Union are not able to obtain reimbursement or funding for the cost of the OCS and additional disposable sets or for transplant procedures generally, they may not have sufficient economic incentives to purchase the OCS. If hospitals or surgeons determine that the benefits of the OCS do not or will not outweigh the initial cost and ongoing expense of the OCS, we might fail to achieve significant sales and may fail to maintain profitability on a sustained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Reimbursement in international markets is likely to require us to undertake country-specific reimbursement activities, including additional clinical studies, which could be time-consuming and expensive and may not yield acceptable reimbursement rates.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international markets, market acceptance of our products will likely depend in large part on the availability of reimbursement within prevailing healthcare payment systems. Reimbursement and healthcare payment systems in international markets vary significantly by country, and by region in some countries, and include both government-sponsored healthcare and private insurance. We may not obtain international reimbursement approvals in a timely manner, if at all. In addition, even if we do obtain international reimbursement approvals, the level of reimbursement may not be enough to commercially justify expansion of our business into the approving jurisdiction. To the extent we or our customers are unable to obtain reimbursement for products in major international markets in which we seek to market and sell our products, our international revenue growth would be harmed, and our business and results of operations would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modify our products, we may be required to obtain approval of new PMAs or PMA supplements, vary existing CE marking, and may be required to cease marketing or recall any modified products until the required approvals are obtained.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modifications to a PMA-approved device or to its manufacturing processes require approval of a new PMA or a PMA supplement, while other modifications can be reported in an annual report or through a 30-day Notice. The FDA may not agree with our decisions regarding whether a new PMA or PMA supplement is necessary. We may make modifications to our approved devices and manufacturing processes in the future that we believe do not require approval of a new PMA application or PMA supplement, or submission of a 30-day Notice. If the FDA disagrees with our determination and requires us to submit a new PMA, PMA supplement or 30-day Notice for modifications to our previously approved products or manufacturing processes, we may be required to cease marketing or to recall the modified product until we obtain approval or submit the 30-day Notice, and we may be subject to significant regulatory fines or penalties. In addition, the FDA may not approve our products for any future indications that are desirable for commercialization or could require clinical trials to support any modification to the device or any modified indications or claims. Any delay or failure in obtaining required approvals would adversely affect our ability to introduce new or enhanced products in a timely manner, which in turn would harm our future growth.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any significant change to the quality system or the product range in relation to a CE marked device will require notification to the notified body which certified the product. The notified body will assess the proposed change. We might not be able to have the CE mark varied without taking additional steps, or at all. For example, we might need to conduct additional clinical trials and provide additional technical information to the appropriate notified body before the CE mark can be affixed to the changed product.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comply with the FDA’s QSR, or FDA or EU requirements that pertain to clinical trials or investigations, the FDA or the relevant EU competent authority could take various enforcement actions, including halting our manufacturing operations, and our business would suffer.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as a manufacturer of a medical device, we are required to demonstrate and maintain compliance with the FDA’s QSR. The QSR is a complex regulatory scheme that covers the methods and documentation of the design, testing, control, manufacturing, labeling, quality assurance, packaging, storage and shipping of medical devices. In February 2024 FDA issued the QSMR Final Rule to amend the QSR, incorporating by reference ISO 13485:2016. Until the QSMR becomes effective on February 2, 2026, and we are required to transition to the QMSR by that date. Prior to February 2, 2026 we are required to comply with the QSR. The FDA enforces the QSR through periodic inspections and unannounced “for cause” inspections.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subject to periodic FDA inspections to determine compliance with QSR and pursuant to the Bioresearch Monitoring Program, which have in the past and may in the future result in the FDA issuing Form 483s, including during the conduct of clinical trials. Outside the United States, our products and operations are also often required to comply with standards set by international standards bodies, such as the International Organization for Standardization. For example, in the European Union the MDR includes detailed requirements for clinical investigations, which are in line with the international standard ISO 14155:2020 on good clinical practical, or GCP. Foreign regulatory bodies may evaluate our products or the testing that our products undergo against these standards. The specific standards, types of evaluation and scope of review differ among foreign regulatory bodies. Our failure to comply with FDA or local requirements that pertain to clinical trials/investigations, including GCP requirements, and the QSR (in the United States), or failure to take satisfactory and prompt corrective action in response to an adverse inspection, could result in enforcement actions, including a warning letter, adverse publicity, a shutdown of or restrictions on our manufacturing operations, delays in approving or clearing our products, refusal to permit the import or export of our product, prohibition on sales of our product, a recall or seizure of our products, fines, injunctions, civil or criminal penalties, or other sanctions, any of which could cause our business and operating results to suffer.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obtain or maintain regulatory qualifications outside the United States, which could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Sales of the OCS outside the United States are subject to foreign regulatory requirements that vary widely from country to country. The foreign regulatory approval process generally includes all of the risks associated with obtaining FDA clearance or approval in addition to other risks. Complying with international regulatory requirements can be an expensive and time-consuming process, and approval is not certain. The time required to obtain foreign clearances or approvals may exceed the time required for FDA clearance or approval, and requirements for such clearances or approvals may differ significantly from FDA requirements. Foreign regulatory authorities may not clear or approve our product for the same uses cleared or approved by the FDA. In addition, we may not be able to affix the CE mark to new or modified products and we may fail to obtain any additional regulatory qualifications, clearances or approvals or to comply with additional legal obligations required by the individual member states of the European Union or other countries in which we seek to market the OCS. The FDA also regulates the export of medical devices from the United States. If we are not successful in obtaining and maintaining foreign regulatory approvals or complying with U.S. export regulations, our business will be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Foreign regulatory agencies periodically inspect manufacturing facilities both in the United States and abroad. While we implement corrective and preventive action related to any inspection observations, we may fail to pass future inspections of our facility by applicable regulatory authorities or entities both in the United States and in other countries. Delays in receiving necessary qualifications, clearances or approvals to market our product outside the United States, or the failure to receive those qualifications, clearances or approvals, or to comply with other foreign regulatory requirements, could limit or prevent us from marketing our products or enhancements in international markets. Additionally, the imposition of new requirements could significantly affect our business and our product, and we might not be able to adjust to such new requirements. If we fail to comply with applicable foreign regulations, we could face substantial penalties and our business, financial condition, operating results, cash flows and prospects could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could face product liability suits or regulatory delays due to defects in the OCS, which could be expensive and time-consuming and result in substantial damages payable by us and increases in our insurance rates.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products are deemed to be defectively designed, manufactured or labeled, contain defective components, suffer security failures or are hacked, or are counterfeited, we could face substantial and costly litigation by transplant centers that purchase or use the OCS or by their patients or others claiming damages on their behalf. Moreover, transplantations are complex and inherently risky medical procedures. Many of the patients currently on a waiting list for a lung, heart or liver transplant already are very sick, with some of them receiving intensive care. All of these patients have a significant risk of death if they do not receive a transplant. Thus, we may incur substantial liability if the OCS fails to perform as expected and, as a result of this failure, patients do not receive the intended transplants or receive transplants that are not successful. Although death is an anticipated adverse event of the organ transplant population, if the rate of deaths or other serious adverse events using the OCS is greater than expected using conventional transplant procedures, transplant surgeons may cease using the OCS as often or at all, which could materially and adversely affect our business, financial condition, operating results, cash flows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the OCS represents a novel approach to organ transplantation, a patient or transplant center may choose to name us as a party to a lawsuit relating to the use of the OCS in connection with a planned or completed transplant procedure regardless of whether the OCS caused or contributed to a serious adverse event or death of a patient. Any claim, whether or not we are ultimately successful, could divert management’s attention from our core business, be expensive to defend and result in sizable damage awards against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Currently, we maintain global product liability insurance covering damages of up to $10 million per occurrence for both the human clinical and commercial use of our product. We also maintain local insurance policies as required. Our current insurance coverage might not be sufficient to cover future claims and is subject to deductibles. Moreover, in the future, we may not be able to obtain insurance in amount or scope sufficient to provide us with adequate coverage against potential liabilities. Any product liability claims brought against us, with or without merit, could increase our product liability insurance rates or prevent us from securing continuing coverage, could harm our reputation in the industry, impair our current or future preclinical studies or clinical trials, hinder acceptance of our products in the market and reduce product sales. Furthermore, we would need to pay any product liability losses in excess of our insurance coverage or within the deductibles provided under our insurance policies applicable to the claim out of cash reserves, which could materially and adversely affect our business, financial condition, operating results, cash flows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has recognized the threat of cyberattacks on medical devices, and imposes requirements on medical device manufacturers to ensure the cybersecurity of devices. Hackers and other third parties may try to circumvent security controls on an OCS to gain access to information on the OCS, alter the way an OCS operates, to act as a trojan horse or other entry point to other systems that could lead to those systems suffering cybersecurity breaches or attacks, or to cause harms to transplanted organs or individuals. If our security controls fail to fully protect the OCS and the information on it, we could suffer reputational harm, could undergo regulatory investigations and enforcement, or could have claims brought against us.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Third parties may attempt to produce counterfeit versions of our products, which may harm our ability to sell the OCS and its components, negatively affect our reputation or harm patients and subject us to product liability.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Counterfeit medical devices are an increasing presence on the market. Third parties may seek to develop, manufacture, distribute and sell systems that we believe infringe our proprietary rights, which would compete against the OCS and impair our ability to sell the OCS in jurisdictions in which our proprietary rights are not upheld. In addition, counterfeit products may be promoted in a way that misleads consumers into believing they are affiliated with us. If a counterfeit version of the OCS were to appear on the market, we would expect to be obliged to verify all OCS products currently on the market, and possibly to withdraw all OCS products from the market while verifications are made. We also might be named in a lawsuit relating to any side effects or fatalities allegedly related to the use of a counterfeit OCS irrespective of whether the counterfeit device in fact contributed to such an adverse event or whether we were aware of the existence of the counterfeit device.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Improper marketing or promotion of our products or misuse or off-label use of the OCS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OCS products have been approved for marketing in the United States, European Union and other jurisdictions for specific indications, and our promotional materials and training methods must comply with regulatory requirements in the countries where they are sold. We train our commercial team to not promote the OCS for uses outside of the approved indications for use/intended purpose, known as “off-label uses.” We cannot, however, prevent a surgeon from using the OCS off-label, when in the surgeon’s independent professional medical judgment he or she deems it appropriate. There may be increased risk of injury to patients if surgeons attempt to use the OCS off-label. Furthermore, the use of the OCS for indications other than those approved by the FDA or by any foreign regulatory body or for which they are CE marked may not effectively treat such conditions, which could harm our reputation in the marketplace among surgeons and patients.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FDA or any foreign regulatory body determines that our promotional materials or training constitute promotion of an off-label use, or that the materials or training are false or misleading, it could request that we modify our training or promotional materials or subject us to regulatory or enforcement actions, including the issuance or imposition of a warning letter, an untitled letter (which is used for violations that do not necessitate a warning letter), injunction, seizure, civil fine or criminal penalties. In the EU the MDR expressly prohibits misleading claims in the form of off-label promotion and the MDR grants enforcement powers to national competent authorities. It is also possible that other federal, state or foreign enforcement authorities might take action under other regulatory authority, such as false claims laws or consumer protection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surgeons may misuse the OCS or use improper techniques if they are not adequately trained, potentially leading to unsatisfactory patient outcomes, patient injuries, negative publicity and an increased risk of product liability. If the OCS is misused or used with improper technique, we may become subject to costly litigation by our customers or their patients. Similarly, in an effort to decrease costs, surgeons may also reuse the component and accessories of the OCS that are intended for a single use or may purchase reprocessed OCS components from third-party reprocessors in lieu of purchasing new components from us, which could result in product failure and liability. As described above, product liability claims could divert management’s attention from our core business, be expensive to defend and result in sizeable damage awards against us that may not be covered by insurance.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Legislative or regulatory reforms in the United States or other jurisdictions may make it more difficult and costly for us to obtain regulatory clearances or approvals for our products or to manufacture, market or distribute our products after clearance or approval is obtained.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legislation is drafted and introduced in the U.S. Congress that could significantly change the statutory provisions governing the regulation of medical devices. In addition, FDA regulations and guidance may be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EU, the MDR repealed and replaced the Medical Devices Directive (93/42/EEC) with effect from May, 26 2021. Although the MDR now applies so all new devices placed on the market must be CE marked under it, the transition periods provided by the MDR may extend the validity of the certificates issued by notified bodies for medical devices under the Medical Devices Directive before May 26, 2021 provided that certain conditions are satisfied. As such, devices may continue to be placed on the EU market until the end of December 2027 or 2028 (depending on the class of device) and provided the manufacturer satisfies certain requirements, including that there are no significant changes in the design and intended purpose of these devices. Post-Brexit the MDR applies in Northern Ireland in accordance with the Northern Ireland Protocol but does not apply in Great Britain (England, Wales and Scotland). The UK Medicines and Healthcare products Regulatory Agency (MHRA) has provided a transitional period under which the UK will recognize EU CE marks potentially until June 30, 2030 depending on the class of device and subject to certain conditions and depending on the type of device. To be placed on the market in Great Britain after this date, medical devices must have undergone a conformity assessment in accordance with UK legislation and have the UKCA mark affixed.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of our products that were previously certified under the Medical Devices Directive, including OCS Heart, OCS Liver and OCS Lung systems, which includes the OCS Console, the OCS disposables, and the OCS solution additives, have now been recertified under the MDR. We received the CE mark for the OCS Liver combined with our solution additives under the MDR in May 2023, with an effective date of April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recognize that our products may need to be certified and have a UKCA mark affixed to be placed on the market in Great Britain in the future. However, although neither the EU MDR nor EU IVDR apply in Great Britain, the national UK medical devices rules currently allow manufacturers to place devices CE marked under the EU MDR or EU IVDR (including their relevant transition periods) on the market in Great Britain, potentially up until June 30, 2030, depending on the class of device and provided certain conditions are met. The UK Government has recently proposed post-market surveillance legislation and is currently consulting on proposed changes to pre-market medical device regulation. This might lead to substantial changes in the regulatory framework/requirements imposed on medical devices. We will need to continue to monitor the developments in the UK to assess how they impact our devices sold in Great Britain.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certain federal, state and foreign fraud and abuse laws, health information privacy and security laws and transparency laws, which, if violated, could subject us to substantial penalties. Additionally, any challenge to or investigation into our practices under these laws could cause adverse publicity and be costly.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numerous U.S. federal and state, as well as foreign, laws pertaining to healthcare fraud and abuse, including anti-kickback, false claims and physician transparency laws. Our business practices and relationships with providers are subject to scrutiny under these laws. We may also be subject to privacy and security regulation related to patient, customer, employee and other third-party information by both the federal government and the states and foreign jurisdictions in which we conduct our business. The healthcare laws and regulations that may affect our ability to operate include, but are not limited to:</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Anti-Kickback Statute, which prohibits, among other things, persons and entities from knowingly and willfully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A person or entity does not need to have actual knowledge of the statute or specific intent to violate it to have committed a violation. The U.S. government has interpreted this law broadly to apply to the marketing and sales activities of manufacturers. Moreover, the government may assert that a claim including items or services resulting from a violation of the federal Anti-Kickback Statute constitutes a false or fraudulent claim for purposes of the federal civil False Claims Act. Violations of the federal Anti-Kickback Statute may result in substantial civil monetary and criminal penalties. Similarly, violations can result in exclusion from participation in government healthcare programs, including Medicare and Medicaid;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civil and criminal false claims laws and civil monetary penalties laws, including the federal civil False Claims Act, which prohibit, among other things, individuals or entities from knowingly presenting, or causing to be presented, claims for payment from Medicare, Medicaid or other federal healthcare programs that are false or fraudulent. These laws can apply to manufacturers who provide information on coverage, coding, and reimbursement of their products to persons who bill private payors. Private individuals can bring False Claims Act “qui tam” actions, on behalf of the government and such individuals, commonly known as “whistleblowers,” may share in amounts paid by the entity to the government in fines or settlement. When an entity is determined to have violated the federal civil False Claims Act, the government may impose substantial civil fines and penalties, and exclude the entity from participation in Medicare, Medicaid and other federal healthcare programs;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HIPAA, which created additional federal criminal statutes that prohibit,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Physician Sunshine Act under the Patient Protection and Affordable Care Act, as amended by the Health Care and Education Reconciliation Act, collectively referred to as the Affordable Care Act, which require certain applicable manufacturers of drugs, devices, biologics and medical supplies for which payment is available under Medicare, Medicaid or the Children’s Health Insurance Program to report annually to CMS information related to payments and other transfers of value to physicians and teaching hospitals. Applicable manufacturers are required to submit annual reports to CMS. Failure to submit required information may result in substantial civil monetary penalties;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countries in which we operate have laws with extra-territorial effect-those laws apply to our operations outside the relevant country, to the extent they are breached. Examples of such laws include: the FCPA, Bribery Act and the GDPR. The extra-territorial effect of those laws affects our sales and marketing strategy, since in many countries healthcare professionals are officers of the state. This is particularly important in the context of bribery offences, which in the UK and in the United States include the offence of bribing a foreign public official. Failure by our sales staff to comply with those laws may result in criminal and civil penalties and damage our reputation;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analogous state and foreign law equivalents of each of the above federal laws, such as anti-kickback and false claims laws which may apply to items or services reimbursed by any private payor, including commercial insurers or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consumer protection and unfair competition laws, which broadly regulate marketplace activities and activities that potentially harm customers, foreign and state laws, including the GDPR, governing the privacy and security of health information in certain circumstances, many of which differ from each other in significant ways and may not have the same effect, thus complicating compliance efforts; and state laws related to insurance fraud in the case of claims involving private insurers.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laws and regulations, among other things, constrain our business, marketing and other promotional activities by limiting the kinds of financial arrangements, including sales programs, we may have with customers, physicians or other potential purchasers of our products. In particular, these laws will influence, among other things, how we structure our sales offerings, including discount and rebate practices, customer support, education and training programs, and physician consulting and other service arrangements.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For example, the member states of the European Union closely monitor perceived unlawful marketing activity by companies, including inducement to prescribe and the encouragement of off-label use of devices. Responding to investigations can be time-and resource-consuming and can divert management’s attention from the business. Additionally, as a result of these investigations, healthcare providers and entities may have to agree to additional compliance and reporting requirements as part of a consent decree or corporate integrity agreement. Any such investigation or settlement could increase our costs or otherwise have an adverse effect on our business. Even an unsuccessful challenge or investigation into our practices could cause adverse publicity and be costly to respond to. If our operations are found to be in violation of any of the healthcare laws or regulations described above or any other healthcare regulations that apply to us, we may be subject to penalties, including administrative, civil and criminal penalties, damages, fines, exclusion from participation in government healthcare programs, such as Medicare and Medicaid, imprisonment, contractual damages, reputational harm, disgorgement and the curtailment or restructuring of our operations. Moreover, industry associations closely monitor the activities of their member companies. If these organizations or national authorities were to name us as having breached our obligations under their laws, regulations, rules or standards, our reputation would suffer and our business, financial condition, operating results, cash flows and prospects could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Failure to comply with anti-bribery, anti-corruption, and anti-money laundering laws, including the FCPA, as well as export control laws, customs laws, sanctions laws and other laws governing our operations could result in civil or criminal penalties, other remedial measures and legal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we grow our international presence, we are increasingly exposed to trade and economic sanctions and other restrictions imposed by the United States, the European Union and other governments and organizations. The U.S. Departments of Justice, Commerce, State and U.S. Treasury and other federal agencies and authorities have a broad range of civil and criminal penalties they may seek to impose against corporations and individuals for violations of economic sanctions laws, export control laws, the FCPA and other federal statutes and regulations, including those established by the Office of Foreign Assets Control, or OFAC. In addition, the Bribery Act prohibits both domestic and international bribery, as well as bribery across both private and public sectors. The substantive offences of offering or receiving a bribe will be committed by an individual where either the bribery takes place in the U.K, or the person paying or receiving the bribe has a close connection with the UK An organization which is either incorporated in or carries on part of its business in the U.K will be liable under the Bribery Act if a person associated with the organization (being persons performing services for it) pays a bribe anywhere in the world intending to obtain or retain business for the organization. This is a strict liability offense with the only defenses available being that the organization implemented “adequate procedures” to prevent bribery or it was reasonable for it to not have such procedures in place. Under these laws and regulations, as well as other anti-corruption laws, anti-money laundering laws, export control laws, customs laws, sanctions laws and other laws governing our operations, various government agencies may require export licenses, may seek to impose modifications to business practices, including cessation of business activities in sanctioned countries or with sanctioned persons or entities and modifications to compliance programs, which may increase compliance costs, and may subject us to fines, penalties and other sanctions. A violation of these laws or regulations would negatively affect our business, financial condition and results of operations. Due to sales of our products to government or government-affiliated entities, we may be exposed to heightened risk of potential violations of the FCPA, the Bribery Act, or other relevant law.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implemented policies and procedures designed to ensure compliance by us and our directors, officers, employees, representatives, consultants and agents with the FCPA, OFAC restrictions, the Bribery Act and other export control, anti-corruption, anti-money-laundering and anti-terrorism laws and regulations. We cannot be certain, however, that our policies and procedures are or will be sufficient or that directors, officers, employees, representatives, consultants and agents have not engaged and will not engage in conduct for which we may be held responsible, nor can we provide assurance that our business partners have not engaged and will not engage in conduct that could materially affect their ability to perform their contractual obligations to us or even result in our being held liable for such conduct. Violations of the FCPA, OFAC restrictions, the Bribery Act or other export control, anti-corruption, anti-money laundering and anti-terrorism laws or regulations may result in severe criminal or civil sanctions, and we may be subject to other liabilities, which could have a material adverse effect on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and may in the future become subject to additional, U.S., state and foreign laws and regulations imposing obligations on how we collect, store, process or share information concerning individuals. Our actual or perceived failure to comply with such obligations could harm our business. Complying with such laws could also impair our efforts to maintain and expand our customer base, and thereby decrease our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conduct of our business, we may at times collect, process or share data concerning individuals, including health-related personal data. The U.S. federal government and various states have adopted or proposed laws, regulations, guidelines and rules for the collection, distribution, use and storage of personal information of individuals. We may also be subject to U.S. federal rules, regulations and guidance concerning cybersecurity for medical devices, including guidance from the FDA. State privacy and cybersecurity laws vary and, in some cases, can impose more restrictive requirements than U.S. federal law. For example, the CCPA affords California residents expanded privacy rights and protections, including civil penalties for violations and statutory damages under a private right of action for data security breaches. These protections were expanded by CPRA and more than a dozen states now have similar laws. Where state laws are more protective, we must comply with the stricter provisions. In addition to fines and penalties that may be imposed for failure to comply with state law, some states also provide for private rights of action to individuals for misuse of personal information. Our ongoing efforts to comply with evolving laws and regulations may be costly and require ongoing modifications to our policies, procedures and systems. Failure to comply with laws regarding data protection would expose us to risk of enforcement actions and penalties under such laws. Even if we are not determined to have violated applicable data laws, government investigations into these issues can be expensive and lengthy and generate adverse publicity, which could harm our business, financial condition, results of operations or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EEA and the UK, as well as other international jurisdictions, also have laws and regulations dealing with the collection, use and processing of personal data concerning individuals who are located there. Those laws are often more restrictive than those in the United States. For example, we are subject to the requirements of the GDPR, which imposes more stringent administrative requirements for controllers and processors of personal data, including, for example, shortened timelines for data breach notifications, limitations on retention of information, increased requirements pertaining to health data and pseudonymized (i.e., key-coded) data, additional obligations when we contract with service providers, and more robust rights for individuals over their personal data. The GDPR provides that EU member states may make their own further laws and regulations, including laws and regulations limiting the processing of genetic, biometric or health data, which could limit our ability to use and share personal data or cause our costs to increase, and harm our business and financial condition. If we do not comply with our obligations under the GDPR, we could be exposed to enforcement activity from EU regulators, including substantial fines and litigation. In addition, EU law restricts transfers of personal data to the United States unless certain requirements are met. The legislative and regulatory landscape for privacy and data protection continues to evolve, and there has been an increasing focus on privacy and data protection issues with the potential to affect our business. For example, in July 2020, the Court of Justice of the European Union invalidated the U.S.-EU Privacy Shield Framework, which has led to increased scrutiny of data transfers from the EEA and the UK to the United States generally and may increase our costs of compliance with data privacy legislation. We rely on a mixture of mechanisms to transfer personal data from our European business to the United States. We are also subject to the laws of each EU member state implementing any EU directive applicable to our processing activities, including Directing 2002/58/EC.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subject to the requirements of the UK Data Protection Law as amended and superseded from time to time. UK Data Protection Law means: (i) the GDPR as it forms part of UK law by virtue of section 3 of the European Union (Withdrawal) Act 2018; (ii) the Data Protection Act 2018; (iii) the Privacy and Electronic Communications (EC Directive) Regulations 2003 as they continue to have effect by virtue of section 2 of the European Union (Withdrawal) Act 2018; and (iv) any other laws in the field of data protection in force in the UK from time to time applicable (in whole or in part)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actual or perceived failure by us or the third parties with whom we work to comply with data privacy or security laws, policies, legal obligations or industry standards, or any security incident that results in the unauthorized release or transfer of information concerning individuals, may result in governmental enforcement actions and investigations, including by European data protection authorities and U.S. federal and state regulatory authorities, fines and penalties, litigation and/or adverse publicity, including by consumer advocacy groups, and could cause our customers, their patients and other healthcare professionals to lose trust in us, which could harm our reputation and have a material adverse effect on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Healthcare policy changes, including recently enacted or potential future legislation reforming the U.S. healthcare system, could harm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operate in a highly regulated industry. The U.S. and state governments continue to propose and pass legislation or take administrative action that may affect the availability and cost of healthcare. Healthcare reform initiatives could harm our business, financial condition and results of operations. There is substantial uncertainty as to how, if at all, the current administration will seek to revise the policies of the FDA and other government agencies. While many of the current administration’s proposed policies appear to be focused on deregulation, the administration and federal government could adopt legislation, regulation, or policy that adversely affects our business or creates a more challenging and costly environment to pursue future clinical trials for, or expand commercialization of, our OCS products. Additionally, because one objective of the current administration appears to be to decrease spending in the federal government, the FDA could face staff reductions, which could impact the FDA’s ability to engage in routine regulatory and oversight activities and result in delays or limitations on our ability to proceed with clinical development programs and obtain regulatory approvals. It is difficult to predict how executive actions that may be taken under the current administration may affect the FDA’s ability to exercise its regulatory authority. Inadequate funding for the FDA, SEC or other government agencies could impact the timeliness of responses or action and may slow the time necessary for agency reviews, which in turn would have a material adverse effect on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there have been and continue to be a number of legislative initiatives to contain healthcare costs and improve access to transplantation. There have been and will likely continue to be ongoing healthcare reform efforts. These reform efforts have and may continue to focus on coverage and payment for organ procurement and transplant. For example, the Centers for Medicare &amp; Medicaid Services issued regulations in 2020 and 2021 that revised Medicare conditions of participation for organ procurement organizations as well as organ acquisition payment policies for organ procurement organizations, transplant centers and donor hospitals. In addition, in 2023, the Securing the U.S. Organ Procurement and Transplantation Network act was signed into law, which allows HRSA to make changes to the Organ Procurement and Transplantation Network, or OPTN, including requiring an independent board, awarding contracts to both non-profit and for-profit entities, and eliminating the cap on funding.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additional state and federal healthcare policies and reform measures to be adopted in the future, any of which could limit coverage or reimbursement for healthcare products and services or otherwise result in reduced demand for the OCS or additional pricing pressure and have a material adverse effect on our industry generally and on our customers. Any changes of, or uncertainty with respect to, coverage or reimbursement of services provided by organ procurement organizations, transplant centers or hospitals could affect demand for the OCS, which in turn could have a material adverse effect on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other broader legislative changes have been adopted that could have an adverse effect upon, and could prevent, our products’ commercial success. The Budget Control Act of 2011, as amended, or the Budget Control Act, includes provisions intended to reduce the federal deficit, including reductions in Medicare payments to providers through fiscal year 2032 (except May 1, 2020 to March 31, 2022). Any significant spending reductions affecting Medicare, Medicaid, or other publicly funded or subsidized health programs, or any significant taxes or fees imposed as part of any broader deficit reduction effort or legislative replacement to the Budget Control Act, or otherwise, could have an adverse impact on our anticipated product revenue.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activities involve the use of hazardous materials, which require compliance with environmental and occupational safety laws regulating the use of such materials. If we violate these laws, we could be subject to significant fines, liabilities or other adverse consequences.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research and development programs involve the controlled use of hazardous materials. Accordingly, we are subject to international, federal, state and local laws governing the use, handling and disposal of these materials. Although we believe that our safety procedures for handling and disposing of these materials comply in all material respects with applicable regulations, we cannot eliminate the risk of accidental contamination or injury from these materials. In the event of an accident or failure to comply with environmental laws, we could be held liable for damages that result, and any such liability could exceed our assets and resources. Our general liability and umbrella insurance policies provide for coverage up to annual aggregate limits of $2 million per occurrence but exclude coverage for liabilities relating to the release of pollutants. The insurance that we currently hold may not be adequate to cover all liabilities relating to accidental contamination or injury due to pollution conditions or other extraordinary or unanticipated events. Furthermore, an accident could damage or force us to shut down our operations.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Common Stock and General Risks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market price of our common stock has been and may continue to be volatile and could subject us to securities class action litigation.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ended December 31, 2024, the price per share of our common stock has ranged from as low as $58.27 to as high as $177.37. Some of the factors that may cause the market price of our common stock to fluctuate include: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price and volume fluctuations in the overall stock market;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volatility in the market price and trading volume of comparable companies;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actual or anticipated changes in our earnings or fluctuations in our operating results or in the expectations of securities analysts;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results of post-approval studies or clinical trials relating to next generation products for the OCS or competing products;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or discontinuation of any of our product development and research programs;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regulatory or legal developments in the United States and other countries, including changes in the healthcare payment systems;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results or changes in the status of, or developments relating to, applications for regulatory approvals or clearances for the OCS or competing products;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announcements or our competitors’ announcements of new products, procedures or therapies;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departure of key personnel;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litigation involving us or that may be perceived as having an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market conditions in the medical device and biotechnology sectors;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general economic, industry and market conditions and trends;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investors’ general perception of us;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sales of large blocks of our stock.</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market for medical device and biotechnology companies, in particular, has experienced extreme price and volume fluctuations that have often been unrelated or disproportionate to changes in the operating performance of the companies whose stock is experiencing those price and volume fluctuations. Because of the potential volatility of our stock price, we may become the target of securities litigation in the future. Securities litigation could result in substantial costs and divert management’s attention and resources from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securities or industry analysts issue an adverse or misleading opinion regarding our business or do not publish research or publish unfavorable research about our business, our stock price and trading volume could decline.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trading market for our common stock is influenced by the research and reports that industry or securities analysts or activist investors or other third parties publish about us or our business. If one or more of these analysts ceases coverage of our company or fails to publish reports on us regularly, we could lose visibility in the financial markets, which in turn could cause our stock price or trading volume to decline. Moreover, if any of the analysts who cover us issue an adverse or misleading opinion regarding us, or if activist investors continue to, our business model or our stock performance, or if our operating results fail to meet the expectations of the investor community, one or more of the analysts who cover our company may change their recommendations regarding our company, and our stock price could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adopted anti-takeover provisions in our restated articles of organization and amended and restated bylaws and are subject to provisions of Massachusetts law that may frustrate any attempt to remove or replace our current board of directors or to effect a change of control or other business combination involving our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restated articles or organization and amended and restated bylaws and certain provisions of Massachusetts law may discourage certain types of transactions involving an actual or potential change of control of our company that might be beneficial to us or our security holders. For example, our amended and restated bylaws grant the chairperson presiding over any meetings of shareholders the right to adjourn such meeting. Our board of directors also may issue shares of any class or series of preferred stock in the future without shareholder approval and upon such terms as our board of directors may determine. The rights of the holders of our common stock will be subject to, and may be harmed by, the rights of the holders of any class or series of preferred stock that may be issued in the future. Massachusetts state law also prohibits us from engaging in specified business combinations unless the combination is approved or consummated in a prescribed manner. These provisions, alone or together, could delay hostile takeovers and changes in control of our company or changes in our management.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restated articles of organization designate the Business Litigation Session of the Superior Court of Suffolk County, Massachusetts (or, if and only if the Business Litigation Session of the Superior Court of Suffolk County, Massachusetts lacks jurisdiction, another state or federal court located within the Commonwealth of Massachusetts) as the sole and exclusive forum for certain types of actions and proceedings that may be initiated by our shareholders, which could discourage lawsuits against us and our directors and officers.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restated articles of organization designate the Business Litigation Session of the Superior Court of Suffolk County, Massachusetts (or, if and only if the Business Litigation Session of the Superior Court of Suffolk County, Massachusetts lacks jurisdiction, another state or federal court located within the Commonwealth of Massachusetts) as the sole and exclusive forum for any action under Massachusetts statutory or common law: brought derivatively on our behalf, asserting a claim of breach of a fiduciary duty owed by any of our directors, officers or other employees to us or our shareholders, asserting a claim arising pursuant to any provision of the Massachusetts Business Corporation Act or asserting a claim governed by the internal affairs doctrine, in all cases subject to the court’s having personal jurisdiction over the indispensable parties named as defendants. In addition, our restated articles of organization provide that any person or entity purchasing or otherwise acquiring any interest in shares of our common stock is deemed to have notice of and consented to the foregoing provisions. This provision will not apply to actions arising under the Exchange Act, or the Securities Act of 1933, as amended, or the Securities Act. Additionally, this exclusive forum provision may limit the ability of our shareholders to bring a claim in a judicial forum that such shareholders find favorable for disputes with us or our directors or officers, which may discourage such lawsuits against us and our directors and officers. Alternatively, if the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Litigation Session of the Superior Court of Suffolk County, Massachusetts or a court outside of Massachusetts were to find this exclusive forum provision inapplicable to, or unenforceable in respect of, one or more of the specified types of actions or proceedings described above, we may incur additional costs associated with resolving such matters in other venues or jurisdictions, which could materially and adversely affect our business, financial condition, operating results, cash flows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identified a material weakness in our internal control over financial reporting, and we may identify additional material weaknesses in the future. If we fail to maintain effective internal control over financial reporting and effective disclosure controls and procedures, we may not be able to accurately report our financial results in a timely manner or prevent fraud, and current and potential shareholders may lose confidence in our financial and other public reporting, which would harm our business and have a negative effect on the trading price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Section 404 of the Sarbanes-Oxley Act of 2002, as amended, our management is required to report on, and our independent registered public accounting firm is required to attest to, the effectiveness of our internal control over financial reporting. This assessment includes disclosure of any material weakness identified by our management in our internal control over financial reporting. In addition, we are required to comply with the SEC’s rules implementing Section 302 of the Sarbanes-Oxley Act, which requires management to certify financial and other information in our quarterly and annual reports, and we are required to disclose significant changes made in our internal controls and procedures on a quarterly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described in Item 9A – Controls and Procedures elsewhere in this Annual Report on Form 10-K, in connection with the audit of our financial statements for the year ended December 31, 2024, we identified a material weakness in our internal control over financial reporting with regard to a deficiency in our control over inventory movement within our manufacturing network. Management, with the oversight of the audit committee of our board of directors, is in the process of assessing and finalizing its plan for remediation for the material weakness described above. However, our remediation efforts with respect to our identified material weakness may be inadequate. The elements of our remediation plan can only be accomplished over time and our remediation plan may not ultimately have its intended effects.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if we identify any additional material weaknesses or significant deficiencies in our internal control over financial reporting, we may not be able to remediate such material weaknesses or significant deficiencies identified in a timely manner or maintain all of the controls necessary to remain in compliance with our reporting obligations or to prevent fraud. If we identify any additional material weaknesses in our internal controls over financial reporting or if we are unable to comply with the requirements of Section 404 in a timely manner or assert that our internal controls over financial reporting are effective, or if our independent registered public accounting firm is unable to express an unqualified opinion as to the effectiveness of our internal control over financial reporting in future periods, investors may not have a complete understanding of our operations or may lose confidence in our financial and other public reporting. Our future access to capital markets could be restricted and we may face other consequences imposed by the SEC or Nasdaq. Such events would harm our business and have a negative effect on the trading price of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accounting standards and subjective assumptions, estimates and judgments by management related to complex accounting matters could significantly affect our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Accounting principles and related pronouncements, implementation guidelines and interpretations we apply to a wide range of matters that are relevant to our business, including, but not limited to, revenue recognition, leases and stock-based compensation, are complex and involve subjective assumptions, estimates and judgments by our management. Changes in accounting pronouncements or their interpretation or changes in underlying assumptions, estimates or judgments by our management could significantly change our reported or expected financial performance.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4" w:name="item1b"/>
      <w:bookmarkEnd w:id="14"/>
      <w:r>
        <w:rPr>
          <w:rFonts w:ascii="Times New Roman" w:hAnsi="Times New Roman"/>
          <w:b/>
          <w:color w:val="000000"/>
          <w:sz w:val="20"/>
        </w:rPr>
        <w:t>Item 1B. Unresolved Staff Comments.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b/>
          <w:color w:val="000000"/>
          <w:sz w:val="20"/>
        </w:rPr>
      </w:pPr>
      <w:bookmarkStart w:id="15" w:name="item1c_cybersecurity"/>
      <w:bookmarkEnd w:id="15"/>
      <w:r>
        <w:rPr>
          <w:rFonts w:ascii="Times New Roman" w:hAnsi="Times New Roman"/>
          <w:b/>
          <w:color w:val="000000"/>
          <w:sz w:val="20"/>
        </w:rPr>
        <w:t>Item 1C. Cybersecurity.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adopted processes designed to identify, assess and manage material risks from cybersecurity threats to our information systems. Those processes include response to and an assessment of internal and external threats to the security, confidentiality, integrity and availability of our data and systems along with other material risks to our operations, at least annually or whenever there are material changes to our systems or operations. These processes include plans to be used in the event of a cybersecurity incident, including incident reporting and business continuity. As part of our risk management process, we engage outside providers to conduct periodic internal and external penetration testing. We store our data in cloud environments with security appropriate to the data involved and have adopted controls around, among other things, vendor risk assessment, access and acceptable use and backup and recovery. Although we have experienced cybersecurity incidents in the past, cybersecurity threats, including as a result of previous cybersecurity incidents, have not materially affected the Company, including its business strategy, results of operations or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executive team, along with our Audit Committee, assess and manage cybersecurity risk as part of our overall business strategy, financial planning and capital allocation. Our Audit Committee and Board of Directors engage with members of the executive team and are briefed on cybersecurity risks at least once each calendar year and with respect to any potentially material cybersecurity incidents. Our Chief Information Officer reports regularly, and at least annually, to our Audit Committee and such report may address overall assessment of our compliance with our cybersecurity policies, and include topics such as risk assessment, risk management and control decisions, service provider arrangements, test results, security incidents and responses, and recommendations for changes and updates to policies and procedures. Our Chief Information Officer has served in various senior information technology roles, responsible for information security for over 20 years.</w:t>
      </w:r>
    </w:p>
    <w:p>
      <w:pPr>
        <w:pStyle w:val="TextBody"/>
        <w:bidi w:val="0"/>
        <w:spacing w:before="240" w:after="283"/>
        <w:jc w:val="both"/>
        <w:rPr>
          <w:rFonts w:ascii="Times New Roman" w:hAnsi="Times New Roman"/>
          <w:b/>
          <w:color w:val="000000"/>
          <w:sz w:val="20"/>
        </w:rPr>
      </w:pPr>
      <w:bookmarkStart w:id="16" w:name="item2_properties"/>
      <w:bookmarkEnd w:id="16"/>
      <w:r>
        <w:rPr>
          <w:rFonts w:ascii="Times New Roman" w:hAnsi="Times New Roman"/>
          <w:b/>
          <w:color w:val="000000"/>
          <w:sz w:val="20"/>
        </w:rPr>
        <w:t>Item 2. Properties.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corporate headquarters and manufacturing and clinical training facilities are located in Andover, Massachusetts, where we lease 135,199 square feet of space, including a 10,500 square foot laboratory and training facility and a 7,900 square foot ISO Class 7 cleanroom facility. The leases for these facilities expire on December 31, 2027 with an option to extend the term beyond the expiration date for one additional period of five years. In connection with our acquisition of Summit, we acquired a 20-year operating lease with one 10-year renewal option, for space at the Bozeman Yellowstone International Airport in Bozeman, Montana where we constructed a commercial aircraft hangar that we use for our flight school aircraft and office space for personnel located in Bozeman. We have a designated maintenance hub for our aircraft in Dallas, Texas under a lease that expires in 2027, subject to certain early termination provisions. We also lease office space at various locations in the United States for our NOP and hangar space for our aircraft under short-term 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our current facilities are adequate to meet our current needs, although we may seek to negotiate new leases or evaluate additional or alternate space for our operations. We believe appropriate alternative space would be readily available on commercially reasonable terms.</w:t>
      </w:r>
    </w:p>
    <w:p>
      <w:pPr>
        <w:pStyle w:val="TextBody"/>
        <w:bidi w:val="0"/>
        <w:spacing w:before="240" w:after="283"/>
        <w:jc w:val="both"/>
        <w:rPr>
          <w:rFonts w:ascii="Times New Roman" w:hAnsi="Times New Roman"/>
          <w:b/>
          <w:color w:val="000000"/>
          <w:sz w:val="20"/>
        </w:rPr>
      </w:pPr>
      <w:bookmarkStart w:id="17" w:name="item3_legal_proceedings"/>
      <w:bookmarkEnd w:id="17"/>
      <w:r>
        <w:rPr>
          <w:rFonts w:ascii="Times New Roman" w:hAnsi="Times New Roman"/>
          <w:b/>
          <w:color w:val="000000"/>
          <w:sz w:val="20"/>
        </w:rPr>
        <w:t>Item 3. Legal Proceedings.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14, 2025, a class action captioned Merly Jewik v. TransMedics Group, Inc., et al., Case No. 1:25-cv-10385, was filed against us in the United States District Court for the District of Massachusetts. The complaint purports to assert claims against us and certain of our current and former officers pursuant to Sections 10(b) and 20(a) of the Securities Exchange Act of 1934, as amended, and Rule 10b-5 promulgated thereunder, on behalf of a putative class of investors who purchased or otherwise acquired the Company’s shares between February 28, 2023 and January 10, 2025 (the “class period”). Plaintiff seeks to recover damages allegedly caused by purported misstatements and omissions contained in certain risk disclosures set forth in our 2022 and 2023 Annual Reports. The complaint alleges the disclosures at issue were false or misleading, because they failed to describe what plaintiff alleges were coercive business and marketing tactics, anticompetitive conduct and fraudulent billing activities on the part of the Company. The complaint claims these alleged statements and omissions operated to artificially inflate the price paid for our common stock during the class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we may be involved in other legal proceedings or investigations, which could have an adverse impact on our reputation, business and financial condition and divert the attention of our management from the operation of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bookmarkStart w:id="18" w:name="item4_mine_safety_disclosures"/>
      <w:bookmarkEnd w:id="18"/>
      <w:r>
        <w:rPr>
          <w:rFonts w:ascii="Times New Roman" w:hAnsi="Times New Roman"/>
          <w:b/>
          <w:color w:val="000000"/>
          <w:sz w:val="20"/>
        </w:rPr>
        <w:t>Item 4. Mine Safety Disclosures.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both"/>
        <w:rPr>
          <w:rFonts w:ascii="Times New Roman" w:hAnsi="Times New Roman"/>
          <w:b/>
          <w:color w:val="000000"/>
          <w:sz w:val="20"/>
        </w:rPr>
      </w:pPr>
      <w:bookmarkStart w:id="19" w:name="item_5_market"/>
      <w:bookmarkEnd w:id="19"/>
      <w:r>
        <w:rPr>
          <w:rFonts w:ascii="Times New Roman" w:hAnsi="Times New Roman"/>
          <w:b/>
          <w:color w:val="000000"/>
          <w:sz w:val="20"/>
        </w:rPr>
        <w:t>Item 5. Market for Registrant’s Common Equity, Related Stockholder Matters and Issuer Purchases of Equity Securities.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Certain Information Regarding the Trading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common stock trades under the symbol “TMDX” on the Nasdaq Global Market and has been publicly traded since May 2, 2019. Prior to this time, there was no public market for our common stock.</w:t>
      </w:r>
    </w:p>
    <w:p>
      <w:pPr>
        <w:pStyle w:val="TextBody"/>
        <w:bidi w:val="0"/>
        <w:spacing w:before="240" w:after="283"/>
        <w:jc w:val="both"/>
        <w:rPr>
          <w:rFonts w:ascii="Times New Roman" w:hAnsi="Times New Roman"/>
          <w:sz w:val="20"/>
        </w:rPr>
      </w:pPr>
      <w:r>
        <w:rPr>
          <w:rFonts w:ascii="Times New Roman" w:hAnsi="Times New Roman"/>
          <w:b/>
          <w:color w:val="000000"/>
          <w:sz w:val="20"/>
        </w:rPr>
        <w:t>Stock Performance Graph</w:t>
      </w:r>
      <w:r>
        <w:rPr>
          <w:rFonts w:ascii="Times New Roman" w:hAnsi="Times New Roman"/>
          <w:b/>
          <w:color w:val="000000"/>
          <w:sz w:val="13"/>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graph shows a comparison from December 31, 2019 through December 31, 2024 of cumulative total return on assumed investments of $100.00 in cash in each of our common stock, the NASDAQ Composite Index and the NASDAQ Healthcare Index. Such returns are based on historical results and are not intended to suggest future performance. Data for the NASDAQ Composite Index and the NASDAQ Healthcare Index assumed reinvestment of dividends.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COMPARISON OF 60 MONTH CUMULATIVE TOTAL RETURN</w:t>
      </w:r>
    </w:p>
    <w:p>
      <w:pPr>
        <w:pStyle w:val="TextBody"/>
        <w:bidi w:val="0"/>
        <w:jc w:val="center"/>
        <w:rPr>
          <w:rFonts w:ascii="Times New Roman" w:hAnsi="Times New Roman"/>
          <w:b/>
          <w:color w:val="000000"/>
          <w:sz w:val="20"/>
        </w:rPr>
      </w:pPr>
      <w:r>
        <w:rPr>
          <w:rFonts w:ascii="Times New Roman" w:hAnsi="Times New Roman"/>
          <w:b/>
          <w:color w:val="000000"/>
          <w:sz w:val="20"/>
        </w:rPr>
        <w:t>Among TransMedics Group, Inc., the NASDAQ Composite Index and the NASDAQ Healthcare Index</w:t>
      </w:r>
    </w:p>
    <w:p>
      <w:pPr>
        <w:pStyle w:val="TextBody"/>
        <w:bidi w:val="0"/>
        <w:jc w:val="center"/>
        <w:rPr/>
      </w:pPr>
      <w:r>
        <w:rPr/>
        <w:t> </w:t>
      </w:r>
    </w:p>
    <w:p>
      <w:pPr>
        <w:pStyle w:val="TextBody"/>
        <w:bidi w:val="0"/>
        <w:jc w:val="left"/>
        <w:rPr/>
      </w:pPr>
      <w:r>
        <w:rPr/>
        <w:drawing>
          <wp:inline distT="0" distB="0" distL="0" distR="0">
            <wp:extent cx="6515100" cy="4429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515100" cy="442912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This performance graph shall not be deemed to be "soliciting material" or to be "filed" with the SEC for purposes of Section 18 of the Securities and Exchange Act of 1934, as amended, or otherwise subject to the liabilities under that Section, and shall not be deemed incorporated by reference into any filings of TransMedics Group, Inc. under the Securities Act of 1933, as amended.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Holders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January 31, 2025, there were approximately 20 holders of record of shares of our common stock. These amounts do not include stockholders for whom shares are held in “nominee” or “street” name.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Information about our equity compensation plans will be included in our definitive proxy statement to be filed with the SEC with respect to our 2025 Annual Meeting of Stockholders and is incorporated herein by reference.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Recent Sales of Unregistered Equity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did not purchase any of our registered equity securities during the period from September 30, 2024 to December 31, 2024.</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Dividends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never declared or paid any dividends on our capital stock. We do not anticipate declaring or paying any cash dividends on our capital stock in the foreseeable future. Any future determination to declare and pay cash dividends, if any, will be made at the discretion of our board of directors and will depend on a variety of factors, including applicable laws, our financial condition, results of operations, contractual restrictions, capital requirements, business prospects, general business or financial market conditions and other factors our board of directors may deem relevant. In addition, our CIBC Credit Agreement contains covenants that restrict our ability to pay cash dividends. </w:t>
      </w:r>
    </w:p>
    <w:p>
      <w:pPr>
        <w:pStyle w:val="TextBody"/>
        <w:bidi w:val="0"/>
        <w:spacing w:before="240" w:after="283"/>
        <w:jc w:val="both"/>
        <w:rPr>
          <w:rFonts w:ascii="Times New Roman" w:hAnsi="Times New Roman"/>
          <w:sz w:val="20"/>
        </w:rPr>
      </w:pPr>
      <w:bookmarkStart w:id="20" w:name="item_6"/>
      <w:bookmarkEnd w:id="20"/>
      <w:r>
        <w:rPr>
          <w:rFonts w:ascii="Times New Roman" w:hAnsi="Times New Roman"/>
          <w:b/>
          <w:color w:val="000000"/>
          <w:sz w:val="20"/>
        </w:rPr>
        <w:t>Item 6.</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21" w:name="item_7_managements_discussion_analysis_f"/>
      <w:bookmarkEnd w:id="21"/>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consolidated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“Item 1A. Risk Factors” section of this Annual Report on Form 10-K, our actual results could differ materially from the results described in or implied by the forward-looking statements contained in the following discussion and analysis.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medical technology company transforming organ transplant therapy for end-stage organ failure patients across multiple disease states. We developed the OCS to replace a decades-old standard of care that we believe is significantly limiting access to life-saving transplant therapy for hundreds of thousands of patients worldwide. Our innovative OCS technology replicates many aspects of the organ’s natural living and functioning environment outside of the human body. As such, the OCS represents a paradigm shift that transforms organ preservation for transplantation from a static state to a dynamic environment that enables new capabilities, including organ optimization and assessment. We have also developed our NOP, an innovative turnkey solution to provide outsourced organ procurement, OCS perfusion management and transplant logistics services, to provide transplant programs in the United States with a more efficient process to procure donor organs with the OCS. Since 2023, we have offered logistics services through our NOP, including aviation transportation, ground transportation, and other coordination activity. We believe the use of the OCS combined with the NOP has the potential to significantly increase the number of organ transplants and improve post-transplant outcomes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designed the OCS to be a platform that allows us to leverage core technologies across products for multiple organs. To date, we have developed three OCS products, one for each of heart, lung and liver transplantations, making the OCS the only FDA approved, portable, multi-organ, warm perfusion technology platform. All three of our products, OCS Heart, OCS Lung and OCS Liver, have received PMA from the FDA, for both DBD organs and DCD organs.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our inception, we have focused substantially all of our resources on designing, developing and building our proprietary OCS technology platform and organ-specific OCS products; obtaining clinical evidence for the safety and effectiveness of our OCS products through clinical trials; securing regulatory approval; organizing and staffing our company; planning our business; raising capital; commercializing our products; developing and growing our NOP; developing and expanding our market and distribution chain and providing general and administrative support for these operations. To date, we have funded our operations primarily with proceeds from borrowings under loan agreements, proceeds from the issuance of the Notes, proceeds from the sale of common stock in our public offerings, and revenue from commercial sales of our OCS products and NOP services and from sales of our OCS products for use in clinical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Prior to 2024, we had incurred significant annual operating losses since inception and we have only recently achieved profitability. Our ability to generate revenue sufficient to achieve sustained profitability will depend on the continued commercial sales of our OCS products and NOP services. We generated total revenue of $441.5 million and had net income of $35.5 million for the year ended December 31, 2024. We generated total revenue of $241.6 million and incurred a net loss of $25.0 million for the year ended December 31, 2023. As of December 31, 2024, we had an accumulated deficit of $468.2 million. We expect our operating and capital expenditures will continue to increase as we focus on growing commercial sales of our products in both the United States and select non-U.S. markets, including growing our commercial team, which will pursue increasing commercial sales of our OCS products; growing our NOP, including by maintaining and growing our logistics capabilities, including hiring, training and retaining pilots to scale our aviation transportation operations, to support our NOP and reduce dependence on third party transportation, including by means of the acquisition, maintenance or replacement of fixed-wing aircraft or other acquisitions, joint ventures or strategic investments; scaling our manufacturing and sterilization operations; developing the next generation OCS; continuing research, development and clinical trial efforts; seeking regulatory clearance for new products and product enhancements, including additional indications or other organs, in both the United States and select non-U.S. markets; and operating as a public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the numerous risks and uncertainties associated with product development, commercialization and regulations of our industry, we are unable to accurately predict the timing or amount of increased expenses or if we will be able to maintain profitability. Until such time, if ever, as we can generate substantial revenue sufficient to achieve sustained profitability, we may finance our operations through a combination of equity offerings, debt financings and strategic alliances. We may be unable to raise additional funds or enter into such other agreements or arrangements when needed on favorable terms or at all. If we are unable to raise capital or enter into such agreements as, and when, needed, we will have to delay, scale back or discontinue the further development and commercialization efforts of one or more of our products, or may be forced to terminate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2023, the U.S. Department of Health and Human Services’ Health Resources and Services Administration, or HRSA, announced initiatives designed to improve the OPTN, including its intent to solicit contract proposals to manage the OPTN, which is currently operated by the United Network for Organ Sharing, or UNOS, under a contract that expired in March 2024. Additionally, in September 2023, the Securing the U.S. Organ Procurement and Transplantation Network Act was signed into law and expressly authorizes HRSA to award multiple grants, contracts or cooperative agreements to support the operation of the OPTN and specifies that the OPTN shall be operated through awards that are distinct from awards made to support the organization tasked with supporting the networks’ board of directors. In September 2024, HRSA began awarding contracts aimed at supporting these initiatives. The impact that the HRSA initiatives and the U.S. Organ Procurement and Transplantation Network Act may have on our business, including on our NOP, is uncertain at this time.</w:t>
      </w:r>
    </w:p>
    <w:p>
      <w:pPr>
        <w:pStyle w:val="TextBody"/>
        <w:bidi w:val="0"/>
        <w:spacing w:before="240" w:after="283"/>
        <w:jc w:val="both"/>
        <w:rPr>
          <w:rFonts w:ascii="Times New Roman" w:hAnsi="Times New Roman"/>
          <w:sz w:val="20"/>
        </w:rPr>
      </w:pPr>
      <w:r>
        <w:rPr>
          <w:rFonts w:ascii="Times New Roman" w:hAnsi="Times New Roman"/>
          <w:b/>
          <w:i/>
          <w:color w:val="000000"/>
          <w:sz w:val="20"/>
        </w:rPr>
        <w:t>Economic Impacts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Inflation, changes in trade policies, and the imposition of duties and tariffs have and could continue to adversely impact the price or availability of raw materials, the components of our products as well as shipping and transportation costs. For example, the global economy has experienced extreme volatility and disruptions, including significant volatility in commodity, other material and labor costs, declines in consumer confidence, declines in economic growth, supply chain interruptions, uncertainty about economic stability and record inflation globally. Unfavorable economic conditions have and could continue to result in a variety of risks to our business, including impacts on demand and pricing for our products and pricing and availability of raw materials and components for our products, which could make it difficult to forecast our inventory needs and financial results.</w:t>
      </w:r>
    </w:p>
    <w:p>
      <w:pPr>
        <w:pStyle w:val="TextBody"/>
        <w:bidi w:val="0"/>
        <w:spacing w:before="240" w:after="283"/>
        <w:jc w:val="both"/>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generate net product revenue primarily from sales of our single-use, organ-specific disposable sets used on our organ-specific OCS Consoles. To a lesser extent, we also generate product revenue from the sale of OCS Consoles to customers and the implied rental of OCS Consoles loaned to customers at no charge. For each new transplant procedure, these customers purchase an additional OCS disposable set for use on their existing organ-specific OCS Console. We also generate service revenue by providing outsourced organ procurement, OCS perfusion management and transplant logistics services under our NOP in the United States. With the acquisition of Summit in August 2023, the purchase of fixed-wing transplant aircraft and the addition of a logistics team, we anticipate increased service revenue from our logistics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Prior to our acquisition in 2023, Summit derived its revenue primarily from charter flight services. To a lesser extent, Summit also derived revenue from providing flight school training, managing aircraft and other related services. As part of the Summit integration, we transitioned Summit's charter flight and aircraft management customers to third parties. We do not anticipate generating revenue from charter flights or aircraft management and related services. We are continuing to offer flight school training services. During the years ended December 31, 2024 and 2023 service revenue of $4.4 million and $4.9 million, respectively, was from Summit's legacy operations, unrelated to the NOP and organ transplant.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of our OCS transplant-related revenue has been generated by sales to transplant centers and Organ Procurement Organizations, not-for-profit organizations responsible for recovering organs from deceased donors for transplantation, in the United States, Europe and Asia-Pacific, or, in some cases, to distributors selling to transplant centers in select countries. Substantially all of our customer contracts have multiple-performance obligations that contain promises consisting of OCS Perfusion Sets and OCS Solutions and may also contain promises for organ procurement, OCS perfusion management or transplant logistics services under our NOP, and OCS Console, whether sold or loaned to the customer.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Through December 31, 2024, all of our sales outside of the United States have been commercial sales (unrelated to any clinical trials). Our sales in the EU are dependent on obtaining and maintaining the CE mark certifications for each of our OCS products. As required by the MDR, we received recertification of the CE mark in September 2022 for each of the OCS Heart and OCS Lung systems, which includes the OCS Console, the OCS disposables, and the OCS solution additives. We also received the recertification of the CE mark in September 2022 for the OCS Liver Console and disposables. We received the CE mark for the OCS Liver combined with our solution additives under the MDR in May 2023, with an effective date of April 2023. In addition, we received a Class II Medical Device License from Health Canada for our OCS Liver combined with our solution additives in October 2023 to complement our existing Health Canada licenses for OCS Heart and OCS Lung.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our revenue will increase over the long term as a result of the continued growth of the NOP in the United States. We also expect that our revenue will increase over the long term as a result of anticipated growth in non-U.S. sales if national healthcare systems begin to reimburse transplant centers for the use of the OCS, if transplant centers utilize the OCS in more transplant cases and if more transplant centers adopt the OCS in their programs. While we expect our revenue to increase over the long term, revenue from sales may fluctuate from quarter to quarter as the timing of organ transplant procedures is generally unpredictable, and we have observed periodic fluctuations in the availability of donor organs, which impacts the volume of transplants.</w:t>
      </w:r>
    </w:p>
    <w:p>
      <w:pPr>
        <w:pStyle w:val="TextBody"/>
        <w:bidi w:val="0"/>
        <w:spacing w:before="240" w:after="283"/>
        <w:jc w:val="both"/>
        <w:rPr>
          <w:rFonts w:ascii="Times New Roman" w:hAnsi="Times New Roman"/>
          <w:sz w:val="20"/>
        </w:rPr>
      </w:pPr>
      <w:r>
        <w:rPr>
          <w:rFonts w:ascii="Times New Roman" w:hAnsi="Times New Roman"/>
          <w:b/>
          <w:i/>
          <w:color w:val="000000"/>
          <w:sz w:val="20"/>
        </w:rPr>
        <w:t>Cost of Revenue, Gross Profit and Gross Margin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net product revenue consists of costs of components of our OCS Consoles and disposable sets, costs of direct materials, labor and the manufacturing overhead that directly supports production and depreciation of OCS Consoles. Included in the cost of OCS disposable sets are the costs of our OCS Lung, OCS Heart and OCS Liver Solutions. Cost of service revenue primarily consists of labor and overhead that directly support organ procurement and OCS perfusion management services and transportation and logistics costs, including labor costs for pilots, aircraft depreciation, aircraft costs, fuel, crew travel, maintenance and third-party flight costs and ground transportation that support organ delivery. For the years ended December 31, 2024 and 2023, cost of service revenue also included approximately $3.1 million and $4.4 million, respectively, of costs related to Summit's legacy operations, unrelated to the NOP and organ transplant.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profit is the amount by which revenue exceeds cost of revenue in each reporting period and gross margin is gross profit divided by revenue. Our overall gross margin is impacted by the relative mix of product and service revenue, as product and service revenue have different margin profiles. Product and service gross margins are also affected by a variety of factors, primarily production volumes, the cost of components and direct materials, manufacturing overhead costs, direct labor, the cost of services provided under the NOP and the selling price of our OCS products and NOP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overall cost of revenue will increase or decrease in absolute dollars primarily as, and to the extent that, our revenue increases or decreases. We expect that the cost of net product revenue as a percentage of net product revenue will moderately decrease and gross margin and gross profit will moderately increase over the long term as our sales and production volumes increase and our cost per unit of our OCS disposable sets decreases due to economies of scale, our product enhancements and improved manufacturing efficiency. We intend to use our design, engineering and manufacturing capabilities to further advance and improve the efficiency of our manufacturing processes, which we believe will reduce costs and increase our product gross margin. We also expect to see modest improvements in the future in our services gross margin as we provide more services and the efficiency in provisioning of these services improves due to scale and experience. While we expect our gross margins to increase over the long term, they will likely fluctuate from quarter to quarter.</w:t>
      </w:r>
    </w:p>
    <w:p>
      <w:pPr>
        <w:pStyle w:val="TextBody"/>
        <w:bidi w:val="0"/>
        <w:spacing w:before="240" w:after="283"/>
        <w:jc w:val="both"/>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0"/>
        </w:rPr>
        <w:t>Research, Development and Clinical Trials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Research, development and clinical trials expenses consist primarily of costs incurred for our research activities, product development, hardware and software engineering, clinical trials to continue to develop clinical evidence of our products’ safety and effectiveness, regulatory expenses, testing, consultant services and other costs associated with our OCS technology platform and OCS products, which include: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employee-related expenses, including salaries, related benefits and stock-based compensation expense for employees engaged in research, hardware and software development, regulatory and clinical trial functions, and recruiting and temporary service fees related to such personnel;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expenses incurred in connection with the clinical trials of our products, including under agreements with third parties, such as consultants, contractors and data management organizations;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 of maintaining and improving our product designs, including the testing of materials and parts used in our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laboratory supplies and research materials;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facilities, depreciation and other expenses, which include direct and allocated expenses for rent and maintenance of facilities and insurance.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expense research, development and clinical trials costs as incurred. In the future, we expect that research, development and clinical trials expenses will increase over the long term due to ongoing product development and approval efforts. We expect to continue to perform activities related to obtaining additional regulatory approvals for expanded indications in the United States and other served geographies, as well as developing the next generation of our OCS technology platform.</w:t>
      </w:r>
    </w:p>
    <w:p>
      <w:pPr>
        <w:pStyle w:val="TextBody"/>
        <w:bidi w:val="0"/>
        <w:spacing w:before="240" w:after="283"/>
        <w:jc w:val="both"/>
        <w:rPr>
          <w:rFonts w:ascii="Times New Roman" w:hAnsi="Times New Roman"/>
          <w:sz w:val="20"/>
        </w:rPr>
      </w:pPr>
      <w:r>
        <w:rPr>
          <w:rFonts w:ascii="Times New Roman" w:hAnsi="Times New Roman"/>
          <w:i/>
          <w:color w:val="000000"/>
          <w:sz w:val="20"/>
        </w:rPr>
        <w:t>Acquired In-Process Research and Development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Acquired in-process research and development expenses, or IPR&amp;D, consist of the acquisition value of transactions that do not qualify as a business combination and that do not have an alternative future use.</w:t>
      </w:r>
    </w:p>
    <w:p>
      <w:pPr>
        <w:pStyle w:val="TextBody"/>
        <w:bidi w:val="0"/>
        <w:spacing w:before="240" w:after="283"/>
        <w:jc w:val="both"/>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Selling, general and administrative expenses consist primarily of salaries and related costs, including stock-based compensation, for personnel in our commercial team and personnel in executive, marketing, finance and administrative functions, and recruiting and temporary service fees for such personnel. Selling, general and administrative expenses also include direct and allocated facility-related costs, costs to support the NOP, promotional activities, marketing, conferences and trade show costs as well as professional fees for legal, patent, consulting, investor and public relations, accounting and audit services and amortization of sales and marketing-related intangible assets. We expect that our selling, general and administrative expenses will increase over the long term as we increase our headcount to support the expected continued sales growth of our OCS products and our NOP.</w:t>
      </w:r>
    </w:p>
    <w:p>
      <w:pPr>
        <w:pStyle w:val="TextBody"/>
        <w:bidi w:val="0"/>
        <w:spacing w:before="240" w:after="283"/>
        <w:jc w:val="both"/>
        <w:rPr>
          <w:rFonts w:ascii="Times New Roman" w:hAnsi="Times New Roman"/>
          <w:sz w:val="20"/>
        </w:rPr>
      </w:pPr>
      <w:r>
        <w:rPr>
          <w:rFonts w:ascii="Times New Roman" w:hAnsi="Times New Roman"/>
          <w:b/>
          <w:i/>
          <w:color w:val="000000"/>
          <w:sz w:val="20"/>
        </w:rPr>
        <w:t>Other Income (Expense)</w:t>
      </w:r>
      <w:r>
        <w:rPr>
          <w:rFonts w:ascii="Times New Roman" w:hAnsi="Times New Roman"/>
          <w:color w:val="000000"/>
          <w:sz w:val="20"/>
        </w:rPr>
        <w:t xml:space="preserve">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Interest expense consists of interest expense associated with outstanding borrowings under our loan agreements as well as the amortization of debt discounts associated with such agreements. In July 2022, we entered into a credit agreement with Canadian Imperial Bank of Commerce, or CIBC, under which we borrowed $60.0 million. At that time, we repaid the remaining $35.0 million of principal that had been outstanding under our prior credit agreement with OrbiMed Royalty Opportunities II, LP, or OrbiMed. In May 2023, we issued and sold $460.0 million in aggregate principal amount of our 1.50% convertible senior notes, due 2028. </w:t>
      </w:r>
    </w:p>
    <w:p>
      <w:pPr>
        <w:pStyle w:val="TextBody"/>
        <w:bidi w:val="0"/>
        <w:spacing w:before="240" w:after="283"/>
        <w:jc w:val="both"/>
        <w:rPr>
          <w:rFonts w:ascii="Times New Roman" w:hAnsi="Times New Roman"/>
          <w:sz w:val="20"/>
        </w:rPr>
      </w:pPr>
      <w:r>
        <w:rPr>
          <w:rFonts w:ascii="Times New Roman" w:hAnsi="Times New Roman"/>
          <w:i/>
          <w:color w:val="000000"/>
          <w:sz w:val="20"/>
        </w:rPr>
        <w:t>Interest Income and Other Income (Expense), Net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Interest income and other income (expense), net includes interest income, realized and unrealized foreign currency transaction gains and losses and other non-operating income and expense items unrelated to our core operations. Interest income consists of interest earned on our invested cash balances. Foreign currency transaction gains and losses result from intercompany transactions as well as transactions with customers or vendors denominated in currencies other than the functional currency of the legal entity in which the transaction is recorded.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Years Ended December 31, 2024, 2023 and 2022</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for the years ended December 31, 2024, 2023 and 2022: </w:t>
      </w:r>
    </w:p>
    <w:tbl>
      <w:tblPr>
        <w:tblW w:w="8503" w:type="dxa"/>
        <w:jc w:val="left"/>
        <w:tblInd w:w="0" w:type="dxa"/>
        <w:tblLayout w:type="fixed"/>
        <w:tblCellMar>
          <w:top w:w="28" w:type="dxa"/>
          <w:left w:w="28" w:type="dxa"/>
          <w:bottom w:w="28" w:type="dxa"/>
          <w:right w:w="28" w:type="dxa"/>
        </w:tblCellMar>
      </w:tblPr>
      <w:tblGrid>
        <w:gridCol w:w="4191"/>
        <w:gridCol w:w="146"/>
        <w:gridCol w:w="211"/>
        <w:gridCol w:w="781"/>
        <w:gridCol w:w="166"/>
        <w:gridCol w:w="146"/>
        <w:gridCol w:w="211"/>
        <w:gridCol w:w="781"/>
        <w:gridCol w:w="166"/>
        <w:gridCol w:w="146"/>
        <w:gridCol w:w="211"/>
        <w:gridCol w:w="736"/>
        <w:gridCol w:w="61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Cost of net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development and clinical trials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Acquired in-process research and development</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69,897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and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OCS transplant-related revenue consists of:</w:t>
      </w:r>
    </w:p>
    <w:p>
      <w:pPr>
        <w:pStyle w:val="TextBody"/>
        <w:bidi w:val="0"/>
        <w:jc w:val="left"/>
        <w:rPr/>
      </w:pPr>
      <w:r>
        <w:rPr/>
        <w:t> </w:t>
      </w:r>
    </w:p>
    <w:tbl>
      <w:tblPr>
        <w:tblW w:w="8263" w:type="dxa"/>
        <w:jc w:val="left"/>
        <w:tblInd w:w="0" w:type="dxa"/>
        <w:tblLayout w:type="fixed"/>
        <w:tblCellMar>
          <w:top w:w="28" w:type="dxa"/>
          <w:left w:w="28" w:type="dxa"/>
          <w:bottom w:w="28" w:type="dxa"/>
          <w:right w:w="28" w:type="dxa"/>
        </w:tblCellMar>
      </w:tblPr>
      <w:tblGrid>
        <w:gridCol w:w="3946"/>
        <w:gridCol w:w="146"/>
        <w:gridCol w:w="211"/>
        <w:gridCol w:w="781"/>
        <w:gridCol w:w="146"/>
        <w:gridCol w:w="146"/>
        <w:gridCol w:w="211"/>
        <w:gridCol w:w="781"/>
        <w:gridCol w:w="146"/>
        <w:gridCol w:w="146"/>
        <w:gridCol w:w="211"/>
        <w:gridCol w:w="781"/>
        <w:gridCol w:w="61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OCS transplant revenue by country by organ: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Lung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Heart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Liver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United States OCS transplant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421,880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200,533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All other countries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Lung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Heart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Liver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all other countries OCS transplant</w:t>
              <w:br/>
              <w: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OCS transplant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200,427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had service revenue unrelated to OCS transplant of $4.4 million and $4.9 million for the years ended December 31, 2024 and 2023,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 from customers in the United States related to OCS transplant was $421.9 million in the year ended December 31, 2024 and increased by $200.5 million compared to the year ended December 31, 2023, primarily due to higher sales volumes of our OCS Liver and OCS Heart disposable sets. Revenue for each organ in the table above includes net product revenue from sales of disposable sets as well as service revenue for organ procurement, OCS perfusion management and transplant logistics services under the NOP in the United States. Establishing the NOP, which launched in late 2021, has allowed us to broaden our customer base and increase utilization of the OCS in organ transplantation. Substantially all of our customers in the United States now participate in the NOP. By adding logistics to our NOP offering in late 2023, we have been able to further increase product and service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 from customers outside the United States was $15.3 million and $15.4 million in the years ended December 31, 2024 and 2023, respectively.</w:t>
      </w:r>
    </w:p>
    <w:p>
      <w:pPr>
        <w:pStyle w:val="TextBody"/>
        <w:bidi w:val="0"/>
        <w:spacing w:before="240" w:after="283"/>
        <w:jc w:val="both"/>
        <w:rPr>
          <w:rFonts w:ascii="Times New Roman" w:hAnsi="Times New Roman"/>
          <w:sz w:val="20"/>
        </w:rPr>
      </w:pPr>
      <w:r>
        <w:rPr>
          <w:rFonts w:ascii="Times New Roman" w:hAnsi="Times New Roman"/>
          <w:i/>
          <w:color w:val="000000"/>
          <w:sz w:val="20"/>
        </w:rPr>
        <w:t>Cost of Revenue, Gross Profit and Gross Margin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 of net product revenue increased by $17.3 million in the year ended December 31, 2024 compared to the year ended December 31, 2023. Cost of service revenue increased by $74.6 million in the year ended December 31, 2024 compared to the year ended December 31, 2023 as we increased utilization of the NOP. Gross profit increased by $108.0 million in the year ended December 31, 2024 compared to the year ended December 31, 2023. Cost of service revenue included approximately $3.1 million and $4.4 million for the years ended December 31, 2024 and 2023, respectively, of costs from Summit's legacy operations, unrelated to the NOP and organ transplant.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Overall gross margin was 59% and 64% for the years ended December 31, 2024 and 2023, respectively. The decrease in gross margin from 2023 to 2024 was driven primarily by an increase in service revenue, which has a lower gross margin than product revenue. Gross margin from net product revenue was 79% and 77% for the years ended December 31, 2024 and 2023, respectively. The increase in product gross margin was primarily as a result of increased sales volume and increased sales of higher margin OCS disposable sets. Gross margin from service revenue was 28% and 29% for the years ended December 31, 2024 and 2023, respectively, and consisted primarily of organ procurement, OCS perfusion management and transplant logistics services under our NOP. The decrease in service gross margin was primarily due to investments in our NOP network, including aviation-related expenditures, to prepare for future growth. Service revenue gross margin for the year ended December 31, 2023, included the introduction of transportation and logistics services and the integration of Summit.</w:t>
      </w:r>
    </w:p>
    <w:p>
      <w:pPr>
        <w:pStyle w:val="TextBody"/>
        <w:bidi w:val="0"/>
        <w:spacing w:before="240" w:after="283"/>
        <w:jc w:val="both"/>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i/>
          <w:color w:val="000000"/>
          <w:sz w:val="20"/>
        </w:rPr>
        <w:t>Research, Development and Clinical Trials Expenses</w:t>
      </w:r>
      <w:r>
        <w:rPr>
          <w:rFonts w:ascii="Times New Roman" w:hAnsi="Times New Roman"/>
          <w:color w:val="000000"/>
          <w:sz w:val="20"/>
        </w:rPr>
        <w:t xml:space="preserve"> </w:t>
      </w:r>
    </w:p>
    <w:tbl>
      <w:tblPr>
        <w:tblW w:w="7603" w:type="dxa"/>
        <w:jc w:val="left"/>
        <w:tblInd w:w="0" w:type="dxa"/>
        <w:tblLayout w:type="fixed"/>
        <w:tblCellMar>
          <w:top w:w="28" w:type="dxa"/>
          <w:left w:w="28" w:type="dxa"/>
          <w:bottom w:w="28" w:type="dxa"/>
          <w:right w:w="28" w:type="dxa"/>
        </w:tblCellMar>
      </w:tblPr>
      <w:tblGrid>
        <w:gridCol w:w="3721"/>
        <w:gridCol w:w="146"/>
        <w:gridCol w:w="211"/>
        <w:gridCol w:w="676"/>
        <w:gridCol w:w="146"/>
        <w:gridCol w:w="146"/>
        <w:gridCol w:w="211"/>
        <w:gridCol w:w="676"/>
        <w:gridCol w:w="146"/>
        <w:gridCol w:w="146"/>
        <w:gridCol w:w="211"/>
        <w:gridCol w:w="676"/>
        <w:gridCol w:w="4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 xml:space="preserve">Personnel related (including stock-based </w:t>
              <w:br/>
              <w:t>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Laboratory supplies and research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Consulting and third-party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Clinical trials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Facility related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research, development and clinical</w:t>
              <w:br/>
              <w:t>   trials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19,913</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Total research, development and clinical trials expenses increased by $19.9 million from $36.1 million in the year ended December 31, 2023 to $56.0 million in the year ended December 31, 2024. Personnel related costs increased by $6.4 million primarily due to increased headcount to support development efforts for our next generation OCS and overall compensation increases. Personnel related costs included stock-based compensation expense of $4.2 million and $2.8 million for the years ended December 31, 2024 and 2023, respectively. Consulting and third-party services costs increased by $7.1 million due to development efforts by our external development consultants for our next generation OCS, other product development and digital tools. Laboratory supplies and research materials costs increased by $6.1 million from the year ended December 31, 2023 to the year ended December 31, 2024 primarily due to our increased need for supplies and materials used for development of our next generation OCS. Facility related and other costs increased by $0.9 million from the year ended December 31, 2023 to the year ended December 31, 2024 due primarily to the increased costs of supporting a larger group of research and development personnel and their development efforts. Clinical trial costs decreased by $0.6 million due to the timing of clinical trials.</w:t>
      </w:r>
    </w:p>
    <w:p>
      <w:pPr>
        <w:pStyle w:val="TextBody"/>
        <w:bidi w:val="0"/>
        <w:spacing w:before="240" w:after="240"/>
        <w:jc w:val="both"/>
        <w:rPr>
          <w:rFonts w:ascii="Times New Roman" w:hAnsi="Times New Roman"/>
          <w:sz w:val="20"/>
        </w:rPr>
      </w:pPr>
      <w:r>
        <w:rPr>
          <w:rFonts w:ascii="Times New Roman" w:hAnsi="Times New Roman"/>
          <w:i/>
          <w:color w:val="000000"/>
          <w:sz w:val="20"/>
        </w:rPr>
        <w:t>Acquired In-Process Research and Development Expenses</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IPR&amp;D in 2023 was related to the acquisition of certain assets related to lung and heart perfusion technology from Bridge to Life Ltd. and its subsidiary Tevosol, Inc., together BTL.</w:t>
      </w:r>
    </w:p>
    <w:p>
      <w:pPr>
        <w:pStyle w:val="TextBody"/>
        <w:bidi w:val="0"/>
        <w:spacing w:before="240" w:after="240"/>
        <w:jc w:val="both"/>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tbl>
      <w:tblPr>
        <w:tblW w:w="7798" w:type="dxa"/>
        <w:jc w:val="left"/>
        <w:tblInd w:w="0" w:type="dxa"/>
        <w:tblLayout w:type="fixed"/>
        <w:tblCellMar>
          <w:top w:w="28" w:type="dxa"/>
          <w:left w:w="28" w:type="dxa"/>
          <w:bottom w:w="28" w:type="dxa"/>
          <w:right w:w="28" w:type="dxa"/>
        </w:tblCellMar>
      </w:tblPr>
      <w:tblGrid>
        <w:gridCol w:w="3706"/>
        <w:gridCol w:w="146"/>
        <w:gridCol w:w="211"/>
        <w:gridCol w:w="781"/>
        <w:gridCol w:w="146"/>
        <w:gridCol w:w="146"/>
        <w:gridCol w:w="211"/>
        <w:gridCol w:w="781"/>
        <w:gridCol w:w="146"/>
        <w:gridCol w:w="146"/>
        <w:gridCol w:w="211"/>
        <w:gridCol w:w="676"/>
        <w:gridCol w:w="4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 xml:space="preserve">Personnel related (including stock-based </w:t>
              <w:br/>
              <w:t>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Professional and consultant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NOP support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Tradeshows and conferences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Facility related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selling, general and administrative</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Total selling, general and administrative expenses increased by $49.1 million from $119.6 million in the year ended December 31, 2023 to $168.6 million in the year ended December 31, 2024 due primarily to increases in personnel related costs, and facility related and other costs. Personnel related costs increased by $36.8 million primarily due to the continued expansion of our team to support the growth in our business. Stock-based compensation expense increased by $11.0 million, due primarily to additional grants to new and existing employees and the modification of stock awards pursuant to the transition agreement with our former Chief Financial Officer. Facility related and other costs increased by $11.3 million due primarily to increased costs associated with post-approval studies and information technology infrastructure costs, and depreciation and amortization expense due to the growth in our business. Professional and consultant fees increased by $0.9 million due primarily to increased fees in 2024 related to information technology and other enterprise solutions costs to support the growth in our business. Professional and consultant fees in the year ended December 31, 2023 included transaction costs of $2.0 million related to our Summit acquisition.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240" w:after="283"/>
        <w:jc w:val="both"/>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expense was $14.4 million and $10.8 million for the years ending December 31, 2024 and 2023, respectively. The increase was due primarily to interest expense on the $460.0 million principal amount of the Notes, which were issued in May 2023.</w:t>
      </w:r>
    </w:p>
    <w:p>
      <w:pPr>
        <w:pStyle w:val="TextBody"/>
        <w:bidi w:val="0"/>
        <w:spacing w:before="240" w:after="283"/>
        <w:jc w:val="both"/>
        <w:rPr>
          <w:rFonts w:ascii="Times New Roman" w:hAnsi="Times New Roman"/>
          <w:sz w:val="20"/>
        </w:rPr>
      </w:pPr>
      <w:r>
        <w:rPr>
          <w:rFonts w:ascii="Times New Roman" w:hAnsi="Times New Roman"/>
          <w:i/>
          <w:color w:val="000000"/>
          <w:sz w:val="20"/>
        </w:rPr>
        <w:t>Interest Income and Other Income (Expense), Net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income and other income (expense), net for the years ended December 31, 2024 and 2023 included interest income of $13.4 million and $12.5 million, respectively, from interest earned on invested cash balances. Other income (expense), net included $0.7 million of realized and unrealized foreign currency transactions losses for the year ended December 31, 2024, and $0.3 million of realized and unrealized foreign currency transactions gains during the year ended December 31,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(Provision) Benefit for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Income taxes for the years ended December 31, 2024 and 2023 included a tax provision of $0.3 million and less than $0.1 million, respectively, related to state and foreign income taxes. For the year ended December 31, 2023, we also recorded a tax benefit of $1.7 million for the release of a portion of our valuation allowance related to the net deferred tax liabilities recorded in purchase accounting. As part of the allocation of the purchase price of Summit, we recorded deferred tax liabilities for the differences between the fair value recognized in purchase accounting and the tax basis of property, plant and equipment and intangible assets. The net deferred tax liability is a source of income to support the recognition of a portion of our existing deferred tax assets. Therefore, we released the same amount of our valuation allowance. We maintain a valuation allowance on our overall net deferred tax asset as we deem it more likely than not that the net deferred tax asset will not be realized.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Years Ended December 31, 2023 and 2022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a discussion of our results of operations for the year ended December 31, 2023 as compared to the year ended December 31, 2022, see Item 7. Management’s Discussion and Analysis of Financial Condition and Results of Operations—Components of Our Results of Operations—Comparison of the Years Ended December 31, 2023, 2022 and 2021 included in our Annual Report on Form 10-K for the year ended December 31, 2023.</w:t>
      </w:r>
    </w:p>
    <w:p>
      <w:pPr>
        <w:pStyle w:val="TextBody"/>
        <w:bidi w:val="0"/>
        <w:spacing w:before="240" w:after="283"/>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Prior to 2024, we had incurred significant annual operating losses since inception and we may continue to incur losses in the future. To date, we have funded our operations primarily with proceeds from borrowings under loan agreements, proceeds from the issuance of our Notes, proceeds from the sale of common stock in our public offerings and revenue from commercial sales of our OCS products and NOP services and from sales of our OCS products for use in clinical trials. On May 11, 2023, we issued $460.0 million aggregate principal amount of the Notes in a private placement to qualified institutional buyers pursuant to Rule 144A under the Securities Act. The total net proceeds from the sale of the Notes, after deducting debt issuance costs of $14.6 million, and purchases of Capped Calls of $52.1 million, were $393.3 million. At December 31, 2024, our principal source of liquidity was cash of $336.7 million</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following table summarizes our sources and uses of cash for each of the periods presented: </w:t>
      </w:r>
    </w:p>
    <w:tbl>
      <w:tblPr>
        <w:tblW w:w="10205" w:type="dxa"/>
        <w:jc w:val="left"/>
        <w:tblInd w:w="0" w:type="dxa"/>
        <w:tblLayout w:type="fixed"/>
        <w:tblCellMar>
          <w:top w:w="28" w:type="dxa"/>
          <w:left w:w="28" w:type="dxa"/>
          <w:bottom w:w="28" w:type="dxa"/>
          <w:right w:w="28" w:type="dxa"/>
        </w:tblCellMar>
      </w:tblPr>
      <w:tblGrid>
        <w:gridCol w:w="5828"/>
        <w:gridCol w:w="146"/>
        <w:gridCol w:w="211"/>
        <w:gridCol w:w="841"/>
        <w:gridCol w:w="166"/>
        <w:gridCol w:w="146"/>
        <w:gridCol w:w="211"/>
        <w:gridCol w:w="841"/>
        <w:gridCol w:w="166"/>
        <w:gridCol w:w="146"/>
        <w:gridCol w:w="211"/>
        <w:gridCol w:w="781"/>
        <w:gridCol w:w="511"/>
      </w:tblGrid>
      <w:tr>
        <w:trPr/>
        <w:tc>
          <w:tcPr>
            <w:tcW w:w="5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82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82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2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167,927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2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 xml:space="preserve">Effect of exchange rate changes on cash, cash equivalents and </w:t>
              <w:br/>
              <w: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828"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175,602</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ended December 31, 2024, operating activities provided $48.8 million of cash, primarily resulting from our net income of $35.5 million and net non-cash charges of $58.3 million, partially offset by net cash used by changes in our operating assets and liabilities of $45.0 million. Net cash used by changes in our operating assets and liabilities for the year ended December 31, 2024 consisted primarily of an increase in accounts receivable of $34.3 million, an increase in inventory of $8.4 million and an increase in prepaid expenses and other current assets of $6.3 million, partially offset by an increase in accounts payable and accrued expenses and other current liabilities of $6.5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ended December 31, 2023, operating activities used $13.0 million of cash, primarily resulting from our net loss of $25.0 million and net cash used by changes in our operating assets and liabilities of $44.3 million, partially offset by net non-cash charges of $56.3 million, which included an IPR&amp;D charge of $27.2 million. Net cash used by changes in our operating assets and liabilities for the year ended December 31, 2023 consisted primarily of an increase in accounts receivable of $33.8 million, an increase in inventory of $28.1 million and an increase in prepaid expenses and other current assets of $2.1 million, partially offset by an increase in accounts payable and accrued expenses and other current liabilities of $21.2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Changes in accounts receivable, inventory, prepaid expenses and other current assets, accounts payable, and accrued expenses and other current liabilities in each reporting period are generally due to growth in our business and timing of invoices and payments.</w:t>
      </w:r>
    </w:p>
    <w:p>
      <w:pPr>
        <w:pStyle w:val="TextBody"/>
        <w:bidi w:val="0"/>
        <w:spacing w:before="240" w:after="283"/>
        <w:jc w:val="both"/>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ended December 31, 2024, net cash used in investing activities of $129.3 million consisted primarily of purchases of property, plant and equipment of $129.7 million, including an increase of $110.2 million in transplant aircraft.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ended December 31, 2023, net cash used in investing activities of $194.0 million consisted of purchases of property, plant and equipment of $151.8 million, including $141.9 million of transplant-related aircraft purchases, the purchase of IPR&amp;D assets from BTL for $27.2 million and the purchase of Summit for $14.9 million, net of cash received.</w:t>
      </w:r>
    </w:p>
    <w:p>
      <w:pPr>
        <w:pStyle w:val="TextBody"/>
        <w:bidi w:val="0"/>
        <w:spacing w:before="240" w:after="283"/>
        <w:jc w:val="both"/>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ended December 31, 2024, net cash provided by financing activities of $22.9 million consisted of proceeds from the issuance of common stock upon exercise of stock options of $20.8 million and proceeds from the issuance of common stock in connection with the 2019 Employee Stock Purchase Plan of $2.1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ended December 31, 2023, net cash provided by financing activities of $400.4 million consisted of net proceeds from the issuance of our Notes of $445.4 million, partially offset by payments of $52.1 million for associated capped calls, proceeds from the issuance of common stock upon exercise of stock options of $6.2 million and proceeds from the issuance of common stock in connection with the 2019 Employee Stock Purchase Plan of $1.0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a discussion of our cash flows for the year ended December 31, 2022, see Item 7. Management’s Discussion and Analysis of Financial Condition and Results of Operations—Liquidity and Capital Resources—Cash Flows included in our Annual Report on Form 10-K for the year ended December 31, 2023.</w:t>
      </w:r>
    </w:p>
    <w:p>
      <w:pPr>
        <w:pStyle w:val="TextBody"/>
        <w:bidi w:val="0"/>
        <w:spacing w:before="240" w:after="283"/>
        <w:jc w:val="both"/>
        <w:rPr>
          <w:rFonts w:ascii="Times New Roman" w:hAnsi="Times New Roman"/>
          <w:sz w:val="20"/>
        </w:rPr>
      </w:pPr>
      <w:r>
        <w:rPr>
          <w:rFonts w:ascii="Times New Roman" w:hAnsi="Times New Roman"/>
          <w:b/>
          <w:i/>
          <w:color w:val="000000"/>
          <w:sz w:val="20"/>
        </w:rPr>
        <w:t>Convertible Senior Notes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11, 2023, we issued $460.0 million aggregate principal amount of the Notes, in a private placement to qualified institutional buyers pursuant to Rule 144A under the Securities Act, pursuant to an indenture dated May 11, 2023, by and between us and U.S. Bank Trust Company, National Association, or the Indenture.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initial conversion price of the Notes is approximately $94.00 per share of common stock, which represents a premium of approximately 32.5% over the closing price of our common stock on May 8, 2023. The Notes will mature on June 1, 2028, unless earlier repurchased, redeemed or converted. We used $52.1 million of the proceeds from the sale of the Notes to fund the cost of entering into capped call transactions, described below. The proceeds from the issuance of the Notes were approximately $393.3 million, net of capped call transaction costs of $52.1 million and initial purchaser discounts and other debt issuance costs totaling $14.6 million. The Notes bear interest at a rate of 1.50% per year and interest is payable semiannually in arrears on June 1 and December 1 of each year. The initial conversion rate is 10.6388 shares of common stock per $1,000 principal amount of the Notes, which represents an initial conversion price of approximately $94.00 per share of common stock. The conversion rate and conversion price are subject to customary adjustments upon the occurrence of certain events as described in the Indenture.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Before March 1, 2028, noteholders have the right to convert their Notes only upon the occurrence of certain events, including certain corporate events, and during the five business days immediately after any ten consecutive trading days in which the trading price per $1,000 principal amount of Notes is less than ninety-eight percent (98%) of the as converted value. Additionally, the noteholder can convert their Notes during any calendar quarter (and only during such calendar quarter), commencing after the calendar quarter ending on September 30, 2023 but before March 1, 2028, provided the last reported sale price of the common stock for at least 20 trading days is greater than or equal to 130% of the conversion price during the 30 consecutive trading days ending on the last trading day of a calendar quarter. From and after March 1, 2028, noteholders may convert their Notes at any time at their election until the close of business on the second scheduled trading day immediately before the maturity date. We have the right to elect to settle conversions either in cash, shares or in a combination of cash and shares of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Prior to June 8, 2026, the Notes will not be redeemable. On or after June 8, 2026, we may redeem for cash all or any portion of the Notes (subject to the partial redemption limitation set forth in the Indenture), at our option, if the last reported sale price of our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In addition, calling any Note for redemption will constitute a “Make-Whole Fundamental Change” (as defined in the Indenture) with respect to that Note, in which case the conversion rate applicable to the conversion of that Note will be increased in certain circumstances if it is converted after it is called for redemption.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conditional conversion feature of the Notes was triggered on June 30, 2024 and again on September 30, 2024, as the last reported sale price of our common stock was greater than or equal to 130% of the conversion price of the Notes for at least 20 trading days during the period of 30 consecutive trading days ending on and including the last trading day of each of the quarters ended June 30, 2024 and September 30, 2024, respectively, and the Notes therefore became convertible at the noteholders’ election in the immediately following calendar quarters ended September 30, 2024 and December 31, 2024, respectively. If this condition or another conversion condition is met in the future, the Notes may again become convertible, otherwise the Notes will be convertible at the noteholders’ election from March 1, 2028 through the close of business on the second scheduled trading day immediately before the maturity date.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Long-Term Debt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July 2022, we entered into a credit agreement with CIBC as amended by the First Amendment to Credit Agreement, dated as of May 8, 2023, by and among the Company and CIBC, or the First Amendment, the Second Amendment to Credit Agreement, dated as of June 23, 2023, by and among the Company and CIBC, or the Second Amendment, and the Third Amendment to Credit Agreement, dated as of November 9, 2023, by and among the Company and CIBC, or the Third Amendment, pursuant to which we borrowed $60.0 million, referred to herein as the CIBC Credit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Borrowings under the CIBC Credit Agreement bear interest at an annual rate equal to either, at our option, (i) the secured overnight financing rate for an interest period selected by us, subject to a minimum of 1.50%, plus 2.0% or (ii) 1.0% plus the higher of a) the prime rate, subject to a minimum of 4.0% or b) the Federal Funds Effective Rate, plus 0.5%. At our option, we may prepay borrowings outstanding under the CIBC Credit Agreement, without a prepayment fee. All obligations under the CIBC Credit Agreement are guaranteed by us and each of our material subsidiaries.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obligations of us and each guarantor are secured by substantially all of our and each guarantor’s assets, including their intellectual property, subject to certain exceptions. Under the CIBC Credit Agreement, we have agreed to customary representations and warranties, events of default and certain affirmative and negative covenants to which we will remain subject until maturity. The financial covenants include, among other covenants, (x) a requirement to maintain a minimum liquidity amount of the greater of either (i) the consolidated adjusted EBITDA loss (or gain), as defined, for the trailing four month period (only if EBITDA is negative) and (ii) $10.0 million, and (y) a requirement to maintain total net revenue of at least 75% of the level set forth in the total revenue plan presented to CIBC. The obligations under the CIBC Credit Agreement are subject to acceleration upon the occurrence of specified events of default, including payment default, change in control, bankruptcy, insolvency, certain defaults under other material debt, certain events with respect to governmental approvals (if such events could cause a material adverse change in our business), failure to comply with certain covenants and a material adverse change in our business, operations or financial condition. As of December 31, 2024, we were in compliance with all financial covenants of the CIBC Credit Agreement. During the continuance of an event of default, the interest rate per annum will be equal to the rate that would have otherwise been applicable at the time of the event of default plus 2.0%. If an event of default (other than certain events of bankruptcy or insolvency) occurs and is continuing, CIBC may declare all or any portion of the outstanding principal amount of the borrowings plus accrued and unpaid interest to be due and payable. Upon the occurrence of certain events of bankruptcy or insolvency, all of the outstanding principal amount of the borrowings plus accrued and unpaid interest will automatically become due and payable. In addition, we may be required to prepay outstanding borrowings, subject to certain exceptions, with portions of net cash proceeds of certain asset sales and certain casualty and condemnation events.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we continue to pursue and increase commercial sales of our OCS products, we expect our costs and expenses to increase in the future, particularly as we expand our commercial team, grow our NOP, scale our manufacturing and sterilization operations, continue research, development and clinical trial efforts, seek regulatory approval for new products and product enhancements, including new indications, both in the United States and in select non-U.S. markets, and seek greater control of air and ground transport for our NOP. For example, if the demand for our products exceeds our existing manufacturing and sterilization capacity, our ability to fulfill orders would be limited until we have sufficiently expanded such operations. The timing and amount of our operating and capital expenditures will depend on many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amount of product revenue generated by sales of our OCS Consoles, OCS disposable sets and other products that may be approved in the United States and select non-U.S. markets, revenue generated by our services, and growth of the NOP;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and expenses of expanding our U.S. and non-U.S. sales and marketing infrastructure and our manufacturing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extent to which our OCS products are adopted by the transplant community;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our customers to obtain adequate reimbursement from third-party payors for procedures performed using the OCS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degree of success we experience in commercializing our OCS products for additional indications;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timing and outcomes of post-approval studies or any future clinical studies and regulatory reviews, including to seek and obtain approvals for new indications for our OCS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emergence of competing or complementary technologies or procedures;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and types of future products we develop and commercialize;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development of the next generation OCS;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maintaining and improving our commercial operations, including the NOP;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maintaining and growing our logistics capabilities, including by means of attracting, training and retaining pilots, and the acquisition, maintenance, or replacement of fixed-wing aircraft for our aviation transportation services or other acquisitions, joint ventures or strategic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of preparing, filing and prosecuting patent applications and maintaining, enforcing and defending intellectual property-related claims;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level of our selling, general and administrative expenses.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that our existing cash will enable us to fund our operating expenses, capital expenditure requirements, and debt service payments for at least 12 months following the filing of our annual report on Form 10-K.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need to raise additional funding, which might not be available on favorable terms or at all. See “Item 1A. Risk Factors—Risks Related to Our Financial Position and Need for Additional Capital” in this Annual Report on Form 10-K.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Material Contractual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contractual obligations include amounts payable as principal and interest payments under the CIBC Credit Agreement. As of December 31, 2024, our outstanding principal balance was $60.0 million, which is repayable in equal monthly installments starting in July 2026 until its maturity in July 2027. We estimate we will pay $3.9 million in interest payments during 2025. Our estimate of payments is based on an assumed rate of 6.4%, which was the interest rate in effect at December 31,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11, 2023, we issued $460.0 million aggregate principal amount of the Notes. The Notes bear interest at a rate of 1.50% per year, payable semi-annually in arrears on June 1 and December 1 of each year. The Notes will mature on June 1, 2028, unless earlier converted, redeemed or repurchased.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lease facilities under long-term non-cancelable operating leases that have a weighted average remaining lease term of 3.7 years as of December 31, 2024. As of December 31, 2024, we had fixed lease payment obligations of $10.3 million, of which $3.3 million is payable during 2025. We also lease facilities under short-term leases, for which we expect to pay approximately $1.5 million in 2025 under existing leases.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intend to acquire additional fixed-wing aircraft as we scale our fleet of aircraft. During the year ended December 31, 2024, we acquired eight transplant-related fixed-wing aircraft with an aggregate purchase price of $109.6 million and we plan to acquire additional aircraft in 2025, including two aircraft purchased in January 2025 and February 2025 with an aggregate purchase price of $28.4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January 2021, we entered into an unconditional $9.5 million purchase commitment in the ordinary course of business, for goods with specified annual minimum quantities to be purchased through December 2029. The contract is not cancellable without penalty. As of December 31, 2024, our remaining purchase commitment is $5.0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enter into other contracts in the normal course of business with consulting firms, material suppliers and other third parties for clinical trials and testing and manufacturing services. These contracts do not contain material minimum purchase commitments and are cancelable by us upon prior written notice. Payments due upon cancellation consist only of payments for services provided or expenses incurred, including noncancelable obligations of our service providers, up to the date of cancellation. These payments are not included in the discussion above as the amount and timing of such payments are not known.</w:t>
      </w:r>
    </w:p>
    <w:p>
      <w:pPr>
        <w:pStyle w:val="TextBody"/>
        <w:bidi w:val="0"/>
        <w:spacing w:before="240" w:after="283"/>
        <w:jc w:val="both"/>
        <w:rPr>
          <w:rFonts w:ascii="Times New Roman" w:hAnsi="Times New Roman"/>
          <w:sz w:val="20"/>
        </w:rPr>
      </w:pPr>
      <w:r>
        <w:rPr>
          <w:rFonts w:ascii="Times New Roman" w:hAnsi="Times New Roman"/>
          <w:b/>
          <w:color w:val="000000"/>
          <w:sz w:val="20"/>
        </w:rPr>
        <w:t>Critical Accounting Policies and Significant Estimates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consolidated financial statements are prepared in accordance with generally accepted accounting principles in the United States. The preparation of our consolidated financial statements and related disclosures requires us to make estimates, assumptions and judgments that affect the reported amounts of assets, liabilities, revenue, costs and expenses, and related disclosures. We evaluate our estimates on an ongoing basis. Our actual results may differ from these estimates under different assumptions or conditions.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our significant accounting policies are described in more detail in Note 2 to our consolidated financial statements included elsewhere in this Annual Report on Form 10-K, we believe that the following accounting policies are those most critical to the judgments and estimates used in the preparation of our consolidated financial statements. </w:t>
      </w:r>
    </w:p>
    <w:p>
      <w:pPr>
        <w:pStyle w:val="TextBody"/>
        <w:bidi w:val="0"/>
        <w:spacing w:before="240" w:after="283"/>
        <w:jc w:val="both"/>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generate net product revenue primarily from sales of our single-use, organ-specific disposable sets used on our organ-specific OCS Consoles. To a lesser extent, we also generate revenue from the sale of OCS Consoles to customers and the implied rental of OCS Consoles loaned to customers at no charge. For each new transplant procedure, these customers purchase an additional OCS disposable set for use on their existing organ-specific OCS Console. We also generate service revenue by providing outsourced organ procurement, OCS perfusion management and transplant logistics services under our NOP in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recognize revenue from sales to customers applying the following five steps: (1) identification of the contract, or contracts, with a customer, (2) identification of the performance obligations in the contract, (3) determination of the transaction price, (4) allocation of the transaction price to the performance obligations in the contract, and (5) recognition of revenue when, or as, performance obligations are satisfied.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Substantially all of our customer contracts have multiple-performance obligations that contain deliverables consisting of OCS Perfusion Sets and OCS Solutions. Customer contract deliverables may also include organ procurement, OCS perfusion management and transplant logistics services under our NOP or OCS Console, whether sold or loaned to the customer. We evaluate each promise within a multiple-performance obligation arrangement to determine whether it represents a distinct performance obligation. The primary performance obligations in our customer arrangements from which we derive revenue are the OCS Perfusion Sets, the OCS Solutions, the OCS Console, organ procurement, OCS perfusion management and transplant logistics services.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When a customer order includes an OCS Console, we have determined that customer training and the equipment set-up of the OCS Console, each performed by us, are not distinct because they are not sold on a standalone basis and can only be performed by us in conjunction with a sale or loan of our OCS Console. In addition, we have determined that the OCS Console itself is not distinct because the customer cannot benefit from the OCS Console without the training and equipment set-up having been completed. As a result, when the order includes an OCS Console, we have concluded that training, OCS Console equipment set-up, and the OCS Console itself are highly interdependent and represent a single, combined performance obligation. We recognize revenue from the single, combined performance obligation only once the OCS Console has arrived at the customer site and the training and equipment set-up have been completed by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Customer orders may include the loan of an OCS Console as well as OCS disposable sets used in each transplant procedure. When we loan the OCS Console to the customer, we retain title to the console at all times and do not require minimum purchase commitments from the customer related to any OCS products. In such cases, we invoice the customer for OCS disposable sets based on customer orders received for each new transplant procedure and the prices set forth in the customer agreement. Over time, we typically recover the cost of the loaned OCS Console through the customer’s continued purchasing and use of additional OCS disposable sets. For these reasons, we have determined that part of the arrangement consideration for the disposable set is an implied rental payment for use of the OCS Console. Therefore, we allocate the arrangement consideration between the lease deliverables (i.e., the OCS Console) and non-lease deliverables (i.e., the OCS disposable sets) based on the relative estimated standalone selling price of each distinct performance obligation. To date, the amounts allocated to lease deliverables have been insignificant.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Revenue from sales to customers of OCS Perfusion Sets, OCS Solutions and OCS Consoles is classified as net product revenue in the our consolidated statements of operations. Revenue from sales to customers of organ procurement, OCS perfusion management and transplant logistics services is classified as service revenue in our consolidated statements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Revenue is recognized when control is transferred to the customer in an amount that reflects the consideration we expect to be entitled to in exchange for the product or services. When a customer order includes disposable sets and organ procurement, OCS perfusion management or transplant logistics services, we have determined that the disposable sets and services constitute separate performance obligations and we recognize revenue as the disposable sets and services are each delivered to the customer. </w:t>
      </w:r>
    </w:p>
    <w:p>
      <w:pPr>
        <w:pStyle w:val="TextBody"/>
        <w:bidi w:val="0"/>
        <w:spacing w:before="240" w:after="283"/>
        <w:jc w:val="both"/>
        <w:rPr>
          <w:rFonts w:ascii="Times New Roman" w:hAnsi="Times New Roman"/>
          <w:sz w:val="20"/>
        </w:rPr>
      </w:pPr>
      <w:r>
        <w:rPr>
          <w:rFonts w:ascii="Times New Roman" w:hAnsi="Times New Roman"/>
          <w:i/>
          <w:color w:val="000000"/>
          <w:sz w:val="20"/>
        </w:rPr>
        <w:t>Payments Made to Customers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some of our customer clinical trial agreements, we made payments to our customers for reimbursements of clinical trial materials and for specified clinical documentation related to their use of our OCS products. We also make payments to customers involved in post-approval studies for information related to the transplant procedures performed. We determine the appropriate accounting treatments for these payments depending on the nature of the payment and whether they are for distinct goods or services.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Revenue Considerations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only include estimated variable amounts in the transaction price to the extent it is probable that a significant reversal of cumulative revenue recognized will not occur when the uncertainty associated with the variable consideration is resolved. We do not assess whether promised goods or services are performance obligations if they are deemed immaterial in the context of the contract with the customer. Additionally, we do not assess whether a contract has a significant financing component if the expectation at contract inception is that the period between payment by the customer and the transfer of the promised goods or services to the customer will be one year or less. Revenue is reported net of taxes.</w:t>
      </w:r>
    </w:p>
    <w:p>
      <w:pPr>
        <w:pStyle w:val="TextBody"/>
        <w:bidi w:val="0"/>
        <w:spacing w:before="240" w:after="283"/>
        <w:jc w:val="both"/>
        <w:rPr>
          <w:rFonts w:ascii="Times New Roman" w:hAnsi="Times New Roman"/>
          <w:sz w:val="20"/>
        </w:rPr>
      </w:pPr>
      <w:r>
        <w:rPr>
          <w:rFonts w:ascii="Times New Roman" w:hAnsi="Times New Roman"/>
          <w:b/>
          <w:i/>
          <w:color w:val="000000"/>
          <w:sz w:val="20"/>
        </w:rPr>
        <w:t>Valuation of Inventory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value inventory at the lower of cost or net realizable value, with cost computed using the first-in, first-out method. We regularly review inventory quantities on-hand for excess and obsolete inventory and, when circumstances indicate, record charges to write down inventories to their estimated net realizable value, after evaluating historical sales, future demand, market conditions and expected product life cycles. Such charges are classified as cost of revenue in our consolidated statements of operations. Any write-down of inventory to net realizable value creates a new cost basis. The reserve for excess and obsolete inventory was $2.5 million and $0.8 million as of December 31, 2024 and 2023, respectively.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At the end of each reporting period, we assess whether losses should be accrued on long-term manufacturing purchase commitments in accordance with ASC Topic 330, </w:t>
      </w:r>
      <w:r>
        <w:rPr>
          <w:rFonts w:ascii="Times New Roman" w:hAnsi="Times New Roman"/>
          <w:i/>
          <w:color w:val="000000"/>
          <w:sz w:val="20"/>
        </w:rPr>
        <w:t>Inventory</w:t>
      </w:r>
      <w:r>
        <w:rPr>
          <w:rFonts w:ascii="Times New Roman" w:hAnsi="Times New Roman"/>
          <w:color w:val="000000"/>
          <w:sz w:val="20"/>
        </w:rPr>
        <w:t xml:space="preserve">, which requires that losses that are expected to arise from firm, noncancelable and unhedged commitments for the future purchase of inventory, measured in the same way as inventory losses, should be recognized in the current period in the consolidated statements of operations unless they are deemed recoverable through firm sales contracts or when there are other circumstances that reasonably assure continuing sales without price decline. As of the end of each reporting period presented in our consolidated financial statements included elsewhere in this Annual Report on Form 10-K, we did not identify any potential losses arising from remaining future purchase commitments as compared to estimated future customer sales through the remainder of the term of the manufacturing purchase commitment and, as a result, did not recognize in a current period any loss provision for future-period remaining purchase commitments.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Business Combinations and Fair Value Estimates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determining whether an acquisition should be accounted for as a business combination or asset acquisition, we first determine whether substantially all of the fair value of the gross assets acquired is concentrated in a single identifiable asset or a group of similar identifiable assets. If this is the case, the single identifiable asset or the group of similar assets is not deemed to be a business and the acquisition is accounted for as an asset acquisition. If this is not the case, we then further evaluate whether the acquisition includes, at a minimum, an input and a substantive process that together significantly contribute to the ability to create outputs. If so, we conclude that the acquisition is a business and account for it as a business combination.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Determining the fair value of assets acquired and liabilities assumed in a business combination is judgmental in nature and can involve the use of significant estimates and assumptions. Fair value and useful life determinations are based on, among other things, valuations that use information and assumptions provided by management, which consider management’s best estimates of inputs and assumptions that a market participant would use. Actual results may vary from these estimates and may result in adjustments to goodwill and acquisition date fair values of assets and liabilities during a measurement period or upon a final determination of asset and liability fair values, whichever comes first. Adjustments to fair values of assets and liabilities made after the end of the measurement period are recorded within operating results.</w:t>
      </w:r>
    </w:p>
    <w:p>
      <w:pPr>
        <w:pStyle w:val="TextBody"/>
        <w:bidi w:val="0"/>
        <w:spacing w:before="240" w:after="283"/>
        <w:jc w:val="both"/>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description of recently issued accounting pronouncements that may potentially impact our financial position, results of operations or cash flows is disclosed in Note 2 to our consolidated financial statements included elsewhere in this Annual Report on Form 10-K. </w:t>
      </w:r>
    </w:p>
    <w:p>
      <w:pPr>
        <w:pStyle w:val="TextBody"/>
        <w:bidi w:val="0"/>
        <w:jc w:val="both"/>
        <w:rPr/>
      </w:pPr>
      <w:r>
        <w:rPr/>
        <w:t> </w:t>
      </w:r>
    </w:p>
    <w:p>
      <w:pPr>
        <w:pStyle w:val="TextBody"/>
        <w:bidi w:val="0"/>
        <w:spacing w:before="240" w:after="283"/>
        <w:jc w:val="both"/>
        <w:rPr>
          <w:rFonts w:ascii="Times New Roman" w:hAnsi="Times New Roman"/>
          <w:sz w:val="20"/>
        </w:rPr>
      </w:pPr>
      <w:bookmarkStart w:id="22" w:name="item7a"/>
      <w:bookmarkEnd w:id="22"/>
      <w:r>
        <w:rPr>
          <w:rFonts w:ascii="Times New Roman" w:hAnsi="Times New Roman"/>
          <w:b/>
          <w:color w:val="000000"/>
          <w:sz w:val="20"/>
        </w:rPr>
        <w:t>Item 7A. Quantitative and Qualitati</w:t>
      </w:r>
      <w:bookmarkStart w:id="23" w:name="item_7a_quantitative_qualitative_disclos"/>
      <w:bookmarkEnd w:id="23"/>
      <w:r>
        <w:rPr>
          <w:rFonts w:ascii="Times New Roman" w:hAnsi="Times New Roman"/>
          <w:b/>
          <w:color w:val="000000"/>
          <w:sz w:val="20"/>
        </w:rPr>
        <w:t>ve Disclosures About Market Risk.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exposed to changes in interest rates and foreign currency exchange rates because we finance certain operations through variable rate debt instruments and denominate our transactions in a variety of foreign currencies. Changes in these rates may have an impact on future cash flow and earnings. We manage these risks through normal operating and financing activities. </w:t>
      </w:r>
    </w:p>
    <w:p>
      <w:pPr>
        <w:pStyle w:val="TextBody"/>
        <w:bidi w:val="0"/>
        <w:spacing w:before="240" w:after="283"/>
        <w:jc w:val="both"/>
        <w:rPr>
          <w:rFonts w:ascii="Times New Roman" w:hAnsi="Times New Roman"/>
          <w:sz w:val="20"/>
        </w:rPr>
      </w:pPr>
      <w:r>
        <w:rPr>
          <w:rFonts w:ascii="Times New Roman" w:hAnsi="Times New Roman"/>
          <w:b/>
          <w:i/>
          <w:color w:val="000000"/>
          <w:sz w:val="20"/>
        </w:rPr>
        <w:t>Foreign Currency Exchange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foreign currency transaction exposure results primarily from intercompany transactions and transactions with customers or vendors denominated in currencies other than the functional currency of the legal entity in which the transaction is recorded by us. Assets and liabilities arising from such transactions are translated into the legal entity’s functional currency using the period-end exchange rates. Foreign currency transaction gains (losses) are included in the consolidated statements of operations as a component of other income (expense). We recognized foreign currency transaction losses of $0.7 million during the year ended December 31,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Foreign currency translation exposure results from the translation of the financial statements of our subsidiaries whose functional currency is not the U.S. dollar into U.S. dollars for consolidated reporting purposes. Assets and liabilities of these subsidiaries are translated into U.S. dollars using the period-end exchange rates, and income and expense items are translated into U.S. dollars using average exchange rates in effect during each period. The effects of these foreign currency translation adjustments are included in accumulated other comprehensive income (loss), a separate component of stockholders’ equity on our consolidated balance sheets. We recorded a foreign currency translation loss of $0.2 million during the year ended December 31,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year ended December 31, 2024, 3% of our revenue and 2% of our operating costs and expenses were generated by subsidiaries whose functional currency is not the U.S. dollar and therefore are subject to foreign currency exposure.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Currently, our largest foreign currency exposure is that with respect to the Euro. We believe that a 10% change in the exchange rate between the U.S. dollar and Euro would not materially impact our operating results or financial position. We have experienced and we will continue to experience fluctuations in our net income (loss) as a result of revaluing our assets and liabilities that are not denominated in the functional currency of the entity that recorded the asset or liability. At this time, we do not hedge our foreign currency risk. </w:t>
      </w:r>
    </w:p>
    <w:p>
      <w:pPr>
        <w:pStyle w:val="TextBody"/>
        <w:bidi w:val="0"/>
        <w:spacing w:before="240" w:after="283"/>
        <w:jc w:val="both"/>
        <w:rPr>
          <w:rFonts w:ascii="Times New Roman" w:hAnsi="Times New Roman"/>
          <w:sz w:val="20"/>
        </w:rPr>
      </w:pPr>
      <w:r>
        <w:rPr>
          <w:rFonts w:ascii="Times New Roman" w:hAnsi="Times New Roman"/>
          <w:b/>
          <w:i/>
          <w:color w:val="000000"/>
          <w:sz w:val="20"/>
        </w:rPr>
        <w:t>Interest Rate Sensitivity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2024, we had cash of $336.7 million, including cash held in savings accounts. Interest income is sensitive to changes in the general level of interest rates; however, due to the nature of our savings accounts, an immediate 10% change in interest rates would not have a material effect on the fair market value of our cash balance.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July 2022, we entered into our CIBC Credit Agreement with CIBC. Borrowings under the CIBC Credit Agreement bear interest at an annual rate equal to either, at our option, (i) the secured overnight financing rate for an interest period selected by us, subject to a minimum of 1.5%, plus 2.0% or (ii) 1.0% plus the higher of a) the prime rate, subject to a minimum of 4.0% or b) the Federal Funds Effective Rate, plus 0.5%. As of December 31, 2024 borrowings outstanding under the CIBC Credit Agreement totaled $60.0 million and the interest rate applicable to such borrowings was 6.4%. An immediate 10% change in the Federal Funds Effective Rate would not have a material impact on our debt-related obligations, financial position or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2023, we issued the Notes with an aggregate principal amount of $460.0 million. In connection with the issuance of the Notes, we entered into privately negotiated capped call transactions with certain counterparties. The capped calls are expected generally to offset the potential dilution to our common stock as a result of any conversion of the Notes. The Notes have a fixed annual interest rate of 1.50%. Accordingly, we do not have interest rate exposure on the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24" w:name="item_8_financial_statements_supplementar"/>
      <w:bookmarkEnd w:id="24"/>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jc w:val="both"/>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TRANSMEDICS GROUP, INC.</w:t>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jc w:val="left"/>
        <w:rPr/>
      </w:pPr>
      <w:r>
        <w:rPr/>
        <w:t> </w:t>
      </w:r>
    </w:p>
    <w:tbl>
      <w:tblPr>
        <w:tblW w:w="7082" w:type="dxa"/>
        <w:jc w:val="left"/>
        <w:tblInd w:w="0" w:type="dxa"/>
        <w:tblLayout w:type="fixed"/>
        <w:tblCellMar>
          <w:top w:w="28" w:type="dxa"/>
          <w:left w:w="28" w:type="dxa"/>
          <w:bottom w:w="28" w:type="dxa"/>
          <w:right w:w="28" w:type="dxa"/>
        </w:tblCellMar>
      </w:tblPr>
      <w:tblGrid>
        <w:gridCol w:w="6271"/>
        <w:gridCol w:w="811"/>
      </w:tblGrid>
      <w:tr>
        <w:trPr/>
        <w:tc>
          <w:tcPr>
            <w:tcW w:w="627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6271" w:type="dxa"/>
            <w:tcBorders/>
            <w:tcMar>
              <w:top w:w="0" w:type="dxa"/>
              <w:left w:w="0" w:type="dxa"/>
              <w:bottom w:w="0" w:type="dxa"/>
              <w:right w:w="0" w:type="dxa"/>
            </w:tcMar>
            <w:vAlign w:val="center"/>
          </w:tcPr>
          <w:p>
            <w:pPr>
              <w:pStyle w:val="TableContents"/>
              <w:pBdr/>
              <w:bidi w:val="0"/>
              <w:spacing w:before="0" w:after="283"/>
              <w:ind w:left="0" w:right="0" w:hanging="24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20"/>
              <w:ind w:left="0" w:right="0" w:firstLine="240"/>
              <w:jc w:val="center"/>
              <w:rPr>
                <w:rFonts w:ascii="Times New Roman" w:hAnsi="Times New Roman"/>
                <w:b/>
                <w:color w:val="000000"/>
                <w:sz w:val="20"/>
              </w:rPr>
            </w:pPr>
            <w:r>
              <w:rPr>
                <w:rFonts w:ascii="Times New Roman" w:hAnsi="Times New Roman"/>
                <w:b/>
                <w:color w:val="000000"/>
                <w:sz w:val="20"/>
              </w:rPr>
              <w:t>Page</w:t>
            </w:r>
          </w:p>
        </w:tc>
      </w:tr>
      <w:tr>
        <w:trPr/>
        <w:tc>
          <w:tcPr>
            <w:tcW w:w="627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report_of_independent_auditors">
              <w:r>
                <w:rPr>
                  <w:rStyle w:val="InternetLink"/>
                  <w:rFonts w:ascii="Times New Roman" w:hAnsi="Times New Roman"/>
                  <w:color w:val="0000FF"/>
                  <w:sz w:val="20"/>
                  <w:u w:val="single"/>
                </w:rPr>
                <w:t>Report of Independent Registered Public Accounting Firm (PCAOB ID 238)</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82</w:t>
            </w:r>
          </w:p>
        </w:tc>
      </w:tr>
      <w:tr>
        <w:trPr/>
        <w:tc>
          <w:tcPr>
            <w:tcW w:w="627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balance_sheets">
              <w:r>
                <w:rPr>
                  <w:rStyle w:val="InternetLink"/>
                  <w:rFonts w:ascii="Times New Roman" w:hAnsi="Times New Roman"/>
                  <w:color w:val="0000FF"/>
                  <w:sz w:val="20"/>
                  <w:u w:val="single"/>
                </w:rPr>
                <w:t>Consolidated Balance Sheets</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84</w:t>
            </w:r>
          </w:p>
        </w:tc>
      </w:tr>
      <w:tr>
        <w:trPr/>
        <w:tc>
          <w:tcPr>
            <w:tcW w:w="627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s_operations">
              <w:r>
                <w:rPr>
                  <w:rStyle w:val="InternetLink"/>
                  <w:rFonts w:ascii="Times New Roman" w:hAnsi="Times New Roman"/>
                  <w:color w:val="0000FF"/>
                  <w:sz w:val="20"/>
                  <w:u w:val="single"/>
                </w:rPr>
                <w:t>Consolidated Statements of Operations</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85</w:t>
            </w:r>
          </w:p>
        </w:tc>
      </w:tr>
      <w:tr>
        <w:trPr/>
        <w:tc>
          <w:tcPr>
            <w:tcW w:w="627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s_comprehensive_lo">
              <w:r>
                <w:rPr>
                  <w:rStyle w:val="InternetLink"/>
                  <w:rFonts w:ascii="Times New Roman" w:hAnsi="Times New Roman"/>
                  <w:color w:val="0000FF"/>
                  <w:sz w:val="20"/>
                  <w:u w:val="single"/>
                </w:rPr>
                <w:t>Consolidated Statements of Comprehensive Income (Loss</w:t>
              </w:r>
            </w:hyperlink>
            <w:r>
              <w:rPr>
                <w:rFonts w:ascii="Times New Roman" w:hAnsi="Times New Roman"/>
                <w:color w:val="000000"/>
                <w:sz w:val="20"/>
              </w:rPr>
              <w:t>)</w:t>
            </w:r>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86</w:t>
            </w:r>
          </w:p>
        </w:tc>
      </w:tr>
      <w:tr>
        <w:trPr/>
        <w:tc>
          <w:tcPr>
            <w:tcW w:w="627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s_stockholders_equ">
              <w:r>
                <w:rPr>
                  <w:rStyle w:val="InternetLink"/>
                  <w:rFonts w:ascii="Times New Roman" w:hAnsi="Times New Roman"/>
                  <w:color w:val="0000FF"/>
                  <w:sz w:val="20"/>
                  <w:u w:val="single"/>
                </w:rPr>
                <w:t>Consolidated Statements of Stockholders’ Equity</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87</w:t>
            </w:r>
          </w:p>
        </w:tc>
      </w:tr>
      <w:tr>
        <w:trPr/>
        <w:tc>
          <w:tcPr>
            <w:tcW w:w="627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s_cash_flows1">
              <w:r>
                <w:rPr>
                  <w:rStyle w:val="InternetLink"/>
                  <w:rFonts w:ascii="Times New Roman" w:hAnsi="Times New Roman"/>
                  <w:color w:val="0000FF"/>
                  <w:sz w:val="20"/>
                  <w:u w:val="single"/>
                </w:rPr>
                <w:t>Consolidated Statements of Cash Flows</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88</w:t>
            </w:r>
          </w:p>
        </w:tc>
      </w:tr>
      <w:tr>
        <w:trPr/>
        <w:tc>
          <w:tcPr>
            <w:tcW w:w="627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811"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89</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5" w:name="report_of_independent_auditors"/>
      <w:bookmarkEnd w:id="25"/>
      <w:r>
        <w:rPr>
          <w:rFonts w:ascii="Times New Roman" w:hAnsi="Times New Roman"/>
          <w:b/>
          <w:color w:val="000000"/>
          <w:sz w:val="20"/>
        </w:rPr>
        <w:t>Report of Independent Registered Public Accounting Firm</w:t>
      </w:r>
    </w:p>
    <w:p>
      <w:pPr>
        <w:pStyle w:val="TextBody"/>
        <w:bidi w:val="0"/>
        <w:jc w:val="left"/>
        <w:rPr>
          <w:rFonts w:ascii="Times New Roman" w:hAnsi="Times New Roman"/>
          <w:sz w:val="20"/>
        </w:rPr>
      </w:pPr>
      <w:r>
        <w:rPr>
          <w:rFonts w:ascii="Times New Roman" w:hAnsi="Times New Roman"/>
          <w:color w:val="000000"/>
          <w:sz w:val="20"/>
        </w:rPr>
        <w:t>To the</w:t>
      </w:r>
      <w:r>
        <w:rPr>
          <w:rFonts w:ascii="Times New Roman" w:hAnsi="Times New Roman"/>
          <w:color w:val="FF0000"/>
          <w:sz w:val="20"/>
        </w:rPr>
        <w:t xml:space="preserve"> </w:t>
      </w:r>
      <w:r>
        <w:rPr>
          <w:rFonts w:ascii="Times New Roman" w:hAnsi="Times New Roman"/>
          <w:color w:val="000000"/>
          <w:sz w:val="20"/>
        </w:rPr>
        <w:t>Board of Directors and Stockholders of TransMedics Group, Inc.</w:t>
      </w:r>
      <w:r>
        <w:rPr>
          <w:rFonts w:ascii="Times New Roman" w:hAnsi="Times New Roman"/>
          <w:color w:val="FF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Opinions on the Financial Statements and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audited the accompanying consolidated balance sheets of TransMedics Group, Inc. and its subsidiaries (the “Company”) as of December 31, 2024 and 2023, and the related consolidated statements of operations, of comprehensive income (loss),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did not maintain, in all material respects, effective internal control over financial reporting as of December 31, 2024, based on criteria established in Internal Control - Integrated Framework (2013) issued by the COSO because a material weakness in internal control over financial reporting existed as of that date as the Company did not design and maintain effective controls to verify that inventory movements are appropriately recorded in the interim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Management’s Annual Report on Internal Control over Financial Reporting appearing under Item 9A. We considered this material weakness in determining the nature, timing, and extent of audit tests applied in our audit of the 2024 consolidated financial statements, and our opinion regarding the effectiveness of the Company’s internal control over financial reporting does not affect our opinion on those consolidated financial statements.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Basis for Opinions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Definition and Limitations of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Critical Audit Matters</w:t>
      </w:r>
    </w:p>
    <w:p>
      <w:pPr>
        <w:pStyle w:val="TextBody"/>
        <w:bidi w:val="0"/>
        <w:spacing w:before="240" w:after="283"/>
        <w:jc w:val="left"/>
        <w:rPr>
          <w:rFonts w:ascii="Times New Roman" w:hAnsi="Times New Roman"/>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r>
        <w:rPr>
          <w:rFonts w:ascii="Times New Roman" w:hAnsi="Times New Roman"/>
          <w:color w:val="FF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Revenue Recognition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described in Note 2 to the consolidated financial statements, the Company recorded $441.5 million in total revenue for the year ended December 31, 2024. The Company generates product revenue, from sales of its single-use, organ-specific disposable sets (i.e., its organ-specific OCS Perfusion Sets sold together with its organ-specific OCS Solutions) used on its organ-specific OCS Consoles, each being a component of the Company’s Organ Care System (OCS) products, and service revenue, by providing outsourced organ procurement, OCS perfusion management and transplant logistics services under the Company’s National OCS Program. Substantially all of the Company’s customer contracts have multiple-performance obligations. Deliverables consist of OCS Perfusion Sets and OCS Solutions. In some of those customer contracts, the deliverables also include an OCS Console, whether sold or loaned to the customer. Management evaluates each promise within a multiple-performance obligation arrangement to determine whether it represents a distinct performance obligation. Management has concluded that training, OCS Console equipment set-up, and the OCS Console itself are highly interdependent and represent a single, combined performance obligation. Revenue is recognized when control of the OCS product or products is transferred to the customer in an amount that reflects the consideration the Company expects to be entitled to in exchange for the product or products. Control is transferred for the OCS products typically only after the product has arrived at the customer site and, in addition for OCS Consoles, the training and equipment set-up have been completed by the Company. Additionally, under the National OCS program, service deliverables available to customers include organ procurement, OCS perfusion management, and transplant logistics services which are distinct performance obligations and are recognized as service revenue when the services occur.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principal considerations for our determination that performing procedures relating to revenue recognition is a critical audit matter are the high degree of auditor effort in performing procedures and in evaluating audit evidence related to management’s determination of the point in time when control of the OCS product or products is transferred to the customer or services are performed and revenue is recognized.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existence and point in time when control is transferred to the customer. These procedures also included, among others, evaluating, for a sample of transactions, the existence of transactions recognized as revenue, as well as evaluating the appropriate timing of revenue recognition by obtaining and inspecting customer purchase orders and, where applicable, invoices, customer agreements, shipping documents, completion of services documents and cash receipts from customers.</w:t>
      </w:r>
    </w:p>
    <w:p>
      <w:pPr>
        <w:pStyle w:val="TextBody"/>
        <w:bidi w:val="0"/>
        <w:jc w:val="left"/>
        <w:rPr>
          <w:rFonts w:ascii="Times New Roman" w:hAnsi="Times New Roman"/>
          <w:color w:val="000000"/>
          <w:sz w:val="20"/>
        </w:rPr>
      </w:pPr>
      <w:r>
        <w:rPr>
          <w:rFonts w:ascii="Times New Roman" w:hAnsi="Times New Roman"/>
          <w:color w:val="000000"/>
          <w:sz w:val="20"/>
        </w:rPr>
        <w:t xml:space="preserve">/s/ PricewaterhouseCoopers LLP </w:t>
      </w:r>
    </w:p>
    <w:p>
      <w:pPr>
        <w:pStyle w:val="TextBody"/>
        <w:bidi w:val="0"/>
        <w:jc w:val="left"/>
        <w:rPr>
          <w:rFonts w:ascii="Times New Roman" w:hAnsi="Times New Roman"/>
          <w:color w:val="000000"/>
          <w:sz w:val="20"/>
        </w:rPr>
      </w:pPr>
      <w:r>
        <w:rPr>
          <w:rFonts w:ascii="Times New Roman" w:hAnsi="Times New Roman"/>
          <w:color w:val="000000"/>
          <w:sz w:val="20"/>
        </w:rPr>
        <w:t>Boston, Massachusetts</w:t>
      </w:r>
    </w:p>
    <w:p>
      <w:pPr>
        <w:pStyle w:val="TextBody"/>
        <w:bidi w:val="0"/>
        <w:jc w:val="left"/>
        <w:rPr>
          <w:rFonts w:ascii="Times New Roman" w:hAnsi="Times New Roman"/>
          <w:color w:val="000000"/>
          <w:sz w:val="20"/>
        </w:rPr>
      </w:pPr>
      <w:r>
        <w:rPr>
          <w:rFonts w:ascii="Times New Roman" w:hAnsi="Times New Roman"/>
          <w:color w:val="000000"/>
          <w:sz w:val="20"/>
        </w:rPr>
        <w:t>February 27, 2025</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served as the Company’s auditor since 2001.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TRANSMEDICS GROUP,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26" w:name="consolidated_balance_sheets"/>
      <w:bookmarkEnd w:id="26"/>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left"/>
        <w:rPr/>
      </w:pPr>
      <w:r>
        <w:rPr/>
        <w:t> </w:t>
      </w:r>
    </w:p>
    <w:tbl>
      <w:tblPr>
        <w:tblW w:w="9449" w:type="dxa"/>
        <w:jc w:val="left"/>
        <w:tblInd w:w="0" w:type="dxa"/>
        <w:tblLayout w:type="fixed"/>
        <w:tblCellMar>
          <w:top w:w="28" w:type="dxa"/>
          <w:left w:w="28" w:type="dxa"/>
          <w:bottom w:w="28" w:type="dxa"/>
          <w:right w:w="28" w:type="dxa"/>
        </w:tblCellMar>
      </w:tblPr>
      <w:tblGrid>
        <w:gridCol w:w="6276"/>
        <w:gridCol w:w="146"/>
        <w:gridCol w:w="211"/>
        <w:gridCol w:w="841"/>
        <w:gridCol w:w="166"/>
        <w:gridCol w:w="146"/>
        <w:gridCol w:w="211"/>
        <w:gridCol w:w="841"/>
        <w:gridCol w:w="611"/>
      </w:tblGrid>
      <w:tr>
        <w:trPr/>
        <w:tc>
          <w:tcPr>
            <w:tcW w:w="6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7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510,654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173,941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804,076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706,047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7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54,934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447,140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59,064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7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568,845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no par value; 25,000,000 shares authorized; no shares</w:t>
              <w:br/>
              <w:t>   issued or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no par value; 150,000,000 shares authorized; 33,617,972</w:t>
              <w:br/>
              <w:t>   shares and 32,670,803 shares issued and outstanding as of</w:t>
              <w:br/>
              <w:t>   December 31, 2024 and 2023,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641,106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(503,705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7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804,076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706,047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TRANSMEDICS GROUP,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27" w:name="consolidated_statements_operations"/>
      <w:bookmarkEnd w:id="27"/>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9313" w:type="dxa"/>
        <w:jc w:val="left"/>
        <w:tblInd w:w="0" w:type="dxa"/>
        <w:tblLayout w:type="fixed"/>
        <w:tblCellMar>
          <w:top w:w="28" w:type="dxa"/>
          <w:left w:w="28" w:type="dxa"/>
          <w:bottom w:w="28" w:type="dxa"/>
          <w:right w:w="28" w:type="dxa"/>
        </w:tblCellMar>
      </w:tblPr>
      <w:tblGrid>
        <w:gridCol w:w="4191"/>
        <w:gridCol w:w="146"/>
        <w:gridCol w:w="211"/>
        <w:gridCol w:w="1036"/>
        <w:gridCol w:w="166"/>
        <w:gridCol w:w="146"/>
        <w:gridCol w:w="211"/>
        <w:gridCol w:w="1036"/>
        <w:gridCol w:w="166"/>
        <w:gridCol w:w="146"/>
        <w:gridCol w:w="211"/>
        <w:gridCol w:w="1036"/>
        <w:gridCol w:w="61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Cost of net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development and clinical trials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Acquired in-process research and development</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69,897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96,709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and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33,229,953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32,517,372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29,556,633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35,216,837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32,517,372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29,556,633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TRANSMEDICS GROUP,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28" w:name="consolidated_statements_comprehensive_lo"/>
      <w:bookmarkEnd w:id="28"/>
      <w:r>
        <w:rPr>
          <w:rFonts w:ascii="Times New Roman" w:hAnsi="Times New Roman"/>
          <w:b/>
          <w:color w:val="000000"/>
          <w:sz w:val="20"/>
        </w:rPr>
        <w:t>CONSOLIDATED STATEMENTS</w:t>
      </w:r>
      <w:r>
        <w:rPr>
          <w:rFonts w:ascii="Times New Roman" w:hAnsi="Times New Roman"/>
          <w:color w:val="000000"/>
          <w:sz w:val="20"/>
        </w:rPr>
        <w:t xml:space="preserve"> </w:t>
      </w:r>
      <w:r>
        <w:rPr>
          <w:rFonts w:ascii="Times New Roman" w:hAnsi="Times New Roman"/>
          <w:b/>
          <w:color w:val="000000"/>
          <w:sz w:val="20"/>
        </w:rPr>
        <w:t>OF COMPREHENSIVE INCOME (LOSS)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7963" w:type="dxa"/>
        <w:jc w:val="left"/>
        <w:tblInd w:w="0" w:type="dxa"/>
        <w:tblLayout w:type="fixed"/>
        <w:tblCellMar>
          <w:top w:w="28" w:type="dxa"/>
          <w:left w:w="28" w:type="dxa"/>
          <w:bottom w:w="28" w:type="dxa"/>
          <w:right w:w="28" w:type="dxa"/>
        </w:tblCellMar>
      </w:tblPr>
      <w:tblGrid>
        <w:gridCol w:w="3821"/>
        <w:gridCol w:w="146"/>
        <w:gridCol w:w="211"/>
        <w:gridCol w:w="676"/>
        <w:gridCol w:w="166"/>
        <w:gridCol w:w="146"/>
        <w:gridCol w:w="211"/>
        <w:gridCol w:w="736"/>
        <w:gridCol w:w="166"/>
        <w:gridCol w:w="146"/>
        <w:gridCol w:w="211"/>
        <w:gridCol w:w="736"/>
        <w:gridCol w:w="591"/>
      </w:tblGrid>
      <w:tr>
        <w:trPr/>
        <w:tc>
          <w:tcPr>
            <w:tcW w:w="3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Unrealized gains on marketable securities, </w:t>
              <w:br/>
              <w:t>   net of tax of $0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2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TRANSMEDICS GROUP,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29" w:name="consolidated_statements_stockholders_equ"/>
      <w:bookmarkEnd w:id="29"/>
      <w:r>
        <w:rPr>
          <w:rFonts w:ascii="Times New Roman" w:hAnsi="Times New Roman"/>
          <w:b/>
          <w:color w:val="000000"/>
          <w:sz w:val="20"/>
        </w:rPr>
        <w:t>CONSOLIDATED STATEMENTS OF STOCKHOLDERS’ EQUITY</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tbl>
      <w:tblPr>
        <w:tblW w:w="9108" w:type="dxa"/>
        <w:jc w:val="left"/>
        <w:tblInd w:w="0" w:type="dxa"/>
        <w:tblLayout w:type="fixed"/>
        <w:tblCellMar>
          <w:top w:w="28" w:type="dxa"/>
          <w:left w:w="28" w:type="dxa"/>
          <w:bottom w:w="28" w:type="dxa"/>
          <w:right w:w="28" w:type="dxa"/>
        </w:tblCellMar>
      </w:tblPr>
      <w:tblGrid>
        <w:gridCol w:w="2806"/>
        <w:gridCol w:w="146"/>
        <w:gridCol w:w="146"/>
        <w:gridCol w:w="916"/>
        <w:gridCol w:w="166"/>
        <w:gridCol w:w="146"/>
        <w:gridCol w:w="196"/>
        <w:gridCol w:w="691"/>
        <w:gridCol w:w="166"/>
        <w:gridCol w:w="146"/>
        <w:gridCol w:w="270"/>
        <w:gridCol w:w="601"/>
        <w:gridCol w:w="166"/>
        <w:gridCol w:w="146"/>
        <w:gridCol w:w="196"/>
        <w:gridCol w:w="751"/>
        <w:gridCol w:w="166"/>
        <w:gridCol w:w="146"/>
        <w:gridCol w:w="205"/>
        <w:gridCol w:w="725"/>
        <w:gridCol w:w="21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27,791,615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in public </w:t>
              <w:br/>
              <w:t xml:space="preserve">   offering, net of discounts and </w:t>
              <w:br/>
              <w:t>   issuance costs of $676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upon the </w:t>
              <w:br/>
              <w:t>   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in </w:t>
              <w:br/>
              <w:t xml:space="preserve">   connection with employee stock </w:t>
              <w:br/>
              <w:t>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common stock forfeitures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in </w:t>
              <w:br/>
              <w:t>   connection with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Foreign currency translation </w:t>
              <w:br/>
              <w:t>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Unrealized gains on marketable </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32,141,368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upon the </w:t>
              <w:br/>
              <w:t>   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in </w:t>
              <w:br/>
              <w:t xml:space="preserve">   connection with employee stock </w:t>
              <w:br/>
              <w:t>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Purchases of capped calls related to </w:t>
              <w:br/>
              <w:t>   convertible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common stock forfeitures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w:t>
              <w:br/>
              <w:t>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32,670,803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641,106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137,202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upon the </w:t>
              <w:br/>
              <w:t>   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w:t>
              <w:br/>
              <w:t>   connection with employee stock</w:t>
              <w:br/>
              <w:t>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in </w:t>
              <w:br/>
              <w:t>   connection with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convertible senior notes</w:t>
              <w:br/>
              <w:t>   into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w:t>
              <w:br/>
              <w:t>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33,617,972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697,208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(468,241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228,603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TRANSMEDICS GROUP,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0" w:name="consolidated_statements_cash_flows1"/>
      <w:bookmarkEnd w:id="30"/>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spacing w:before="120" w:after="8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tbl>
      <w:tblPr>
        <w:tblW w:w="10078" w:type="dxa"/>
        <w:jc w:val="left"/>
        <w:tblInd w:w="0" w:type="dxa"/>
        <w:tblLayout w:type="fixed"/>
        <w:tblCellMar>
          <w:top w:w="28" w:type="dxa"/>
          <w:left w:w="28" w:type="dxa"/>
          <w:bottom w:w="28" w:type="dxa"/>
          <w:right w:w="28" w:type="dxa"/>
        </w:tblCellMar>
      </w:tblPr>
      <w:tblGrid>
        <w:gridCol w:w="5836"/>
        <w:gridCol w:w="146"/>
        <w:gridCol w:w="196"/>
        <w:gridCol w:w="751"/>
        <w:gridCol w:w="166"/>
        <w:gridCol w:w="146"/>
        <w:gridCol w:w="196"/>
        <w:gridCol w:w="751"/>
        <w:gridCol w:w="166"/>
        <w:gridCol w:w="146"/>
        <w:gridCol w:w="196"/>
        <w:gridCol w:w="691"/>
        <w:gridCol w:w="691"/>
      </w:tblGrid>
      <w:tr>
        <w:trPr/>
        <w:tc>
          <w:tcPr>
            <w:tcW w:w="5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(36,231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Adjustments to reconcile net income (loss) to net cash provided by</w:t>
              <w:br/>
              <w:t>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3,478</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10,321</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Acquired in-process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Deferred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Loss on sale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Non-cash interest expense and end of term accretion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717</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Net amortization of premiums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Unrealized foreign currency transaction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Loss on disposal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Changes in operating assets and liabilities, net of acquired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(21,678</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(8,024</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3,437</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16"/>
              </w:rPr>
            </w:pPr>
            <w:r>
              <w:rPr>
                <w:rFonts w:ascii="Times New Roman" w:hAnsi="Times New Roman"/>
                <w:color w:val="000000"/>
                <w:sz w:val="16"/>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(45,817</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Purchases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(11,907</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business,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in-process research and development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(10,496</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sales and 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76,916</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16"/>
              </w:rPr>
            </w:pPr>
            <w:r>
              <w:rPr>
                <w:rFonts w:ascii="Times New Roman" w:hAnsi="Times New Roman"/>
                <w:color w:val="000000"/>
                <w:sz w:val="16"/>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(129,303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54,513</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 xml:space="preserve">Proceeds from issuance of convertible senior notes, net of </w:t>
              <w:br/>
              <w:t>  issuance costs paid of $14,620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Purchases of capped calls related to convertible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issuance of long-term debt,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58,509</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Repayments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(36,050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issuance of common stock in public offering, net</w:t>
              <w:br/>
              <w:t>   of underwriting discounts and commissions and issuance costs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139,854</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4,667</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issuance of common stock upon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Proceeds from issuance of common stock in connection with employee</w:t>
              <w:br/>
              <w:t>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500" w:right="0" w:firstLine="500"/>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400,418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167,927</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(1,021</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175,602</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26,080</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337,150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395,312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201,682</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Supplemental disclosure of non-cash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Transfers of inventory to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2,135</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Purchases of property, plant and equipment included in accounts payable</w:t>
              <w:br/>
              <w:t>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3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Operating lease liabilities arising from obtaining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3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Conversion of convertible senior notes into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center"/>
        <w:rPr/>
      </w:pPr>
      <w:r>
        <w:rPr/>
        <w:t> </w:t>
      </w:r>
    </w:p>
    <w:p>
      <w:pPr>
        <w:pStyle w:val="TextBody"/>
        <w:bidi w:val="0"/>
        <w:spacing w:before="80" w:after="283"/>
        <w:jc w:val="center"/>
        <w:rPr>
          <w:rFonts w:ascii="Times New Roman" w:hAnsi="Times New Roman"/>
          <w:color w:val="000000"/>
          <w:sz w:val="19"/>
        </w:rPr>
      </w:pPr>
      <w:r>
        <w:rPr>
          <w:rFonts w:ascii="Times New Roman" w:hAnsi="Times New Roman"/>
          <w:color w:val="000000"/>
          <w:sz w:val="19"/>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TRANSMEDICS GROUP,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1" w:name="notes_to_consolidated_financial_statemen"/>
      <w:bookmarkEnd w:id="31"/>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Nature of the Business and Basis of Presentation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TransMedics Group, Inc. (“TransMedics Group” and, together with its consolidated subsidiaries, the “Company”) was incorporated in the Commonwealth of Massachusetts in October 2018. TransMedics, Inc. (“TransMedics”), an operating company and wholly owned subsidiary of TransMedics Group, was incorporated in the State of Delaware in August 1998. The Company is a medical technology company transforming organ transplant therapy for end-stage organ failure patients across multiple disease states. The Company developed the Organ Care System (“OCS”) to replace a decades-old standard of care. The OCS represents a paradigm shift that transforms organ preservation for transplantation from a static state to a dynamic environment that enables new capabilities, including organ optimization and assessment. The Company’s OCS technology replicates many aspects of the organ’s natural living and functioning environment outside of the human body. The Company also developed its National OCS Program (“NOP”), an innovative turnkey solution to provide outsourced organ procurement, OCS perfusion management and transplant logistics services, to provide transplant programs in the United States with a more efficient process to procure donor organs with the OCS. The Company's logistics services include aviation transportation, ground transportation and other coordination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August 16, 2023, the Company acquired Summit Aviation, Inc. and Northside Property Group, LLC (together “Summit”). Summit was a charter flight operator based in Bozeman, Montana. The acquisition enabled TransMedics to add aviation transportation services to its NOP and become a comprehensive national provider of donor organ procurement and delivery in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consolidated financial statements have been prepared on the basis of continuity of operations, realization of assets and the satisfaction of liabilities and commitments in the ordinary course of business. Prior to 2024, the Company had incurred recurring annual losses since inception. As of December 31, 2024, the Company had an accumulated deficit of $468.2 million. The Company generated net income of $35.5 million for the year ended December 31, 2024. The Company believes that its existing cash of $336.7 million as of December 31, 2024 will be sufficient to fund its operations, capital expenditures, and debt service payments for at least the next 12 months following the filing of this Annual Report on Form 10-K. If the Company needs to seek additional funding through equity financings, debt financings or strategic alliances, the Company may not be able to obtain financing on acceptable terms, or at all, and the terms of any financing may adversely affect the holdings or the rights of the Company’s shareholders. If the Company is unable to obtain funding when needed, the Company will be required to delay, reduce or eliminate some or all of its research and development programs, product expansion or commercialization efforts, or the Company may be unable to continue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subject to risks and uncertainties common to companies in the medical device industry and of similar size, including, but not limited to, development by competitors of new technological innovations, dependence on key personnel, protection of proprietary technology, compliance with government regulations, uncertainty of market acceptance of products, and the need to obtain additional financing to fund operations. Products currently under development will require additional research and development efforts, including additional clinical testing and regulatory approval, prior to commercialization. These efforts require additional capital, adequate personnel, infrastructure and extensive compliance-reporting capabilities. The Company’s research and development may not be successfully completed, adequate protection for the Company’s technology may not be obtained, the Company may not obtain necessary government regulatory approval on its expected timeline or at all, and approved products may not prove commercially viable. The Company operates in an environment of rapid change in technology and competition.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 (“ASU”) of the Financial Accounting Standards Board (“FASB”). The accompanying consolidated financial statements include the accounts of the Company and its wholly owned subsidiaries. All intercompany accounts and transactions have been eliminated in consolidation.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240" w:after="283"/>
        <w:jc w:val="both"/>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periods. Significant estimates and assumptions reflected in these consolidated financial statements include, but are not limited to, revenue recognition, the valuation of inventory, the valuation of assets acquired and liabilities assumed in business combinations, including acquired intangible assets and the resulting goodwill, and the valuation of stock-based awards.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Changes in estimates are recorded in the period in which they become known. As of the date of issuance of these consolidated financial statements, the Company is not aware of any specific event or circumstance that would require the Company to update estimates, judgments or revise the carrying value of any assets or liabilities. Actual results may differ from those estimates or assumptions. </w:t>
      </w:r>
    </w:p>
    <w:p>
      <w:pPr>
        <w:pStyle w:val="TextBody"/>
        <w:bidi w:val="0"/>
        <w:spacing w:before="240" w:after="283"/>
        <w:jc w:val="both"/>
        <w:rPr>
          <w:rFonts w:ascii="Times New Roman" w:hAnsi="Times New Roman"/>
          <w:sz w:val="20"/>
        </w:rPr>
      </w:pPr>
      <w:r>
        <w:rPr>
          <w:rFonts w:ascii="Times New Roman" w:hAnsi="Times New Roman"/>
          <w:b/>
          <w:i/>
          <w:color w:val="000000"/>
          <w:sz w:val="20"/>
        </w:rPr>
        <w:t>Risk of Concentrations of Credit, Significant Customers and Significant Suppliers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Financial instruments that potentially expose the Company to concentrations of credit risk consist primarily of cash and accounts receivable. The Company does not believe that it is subject to unusual credit risk beyond the normal credit risk associated with commercial banking relationships. As of December 31, 2024 and 2023, the Company had no allowance for credit losses. Significant customers are those that accounted for 10% or more of the Company’s revenue or accounts receivable. For the years ended December 31, 2024 and 2023, no customer accounted for more than 10% of revenue. For the year ended December 31, 2022, one customer accounted for 14% of revenue. As of December 31, 2024 and 2023, no customer accounted for more than 10% of accounts receivable.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Certain of the components and subassemblies included in the Company’s products are obtained from a sole source, a single source or a limited group of suppliers, as are sterilization services. Although the Company seeks to reduce dependence on those limited sources of suppliers, manufacturers and service providers, the partial or complete loss of certain of these sources could have a material adverse effect on the Company’s operating results, financial condition and cash flows and damage its customer relationships. </w:t>
      </w:r>
    </w:p>
    <w:p>
      <w:pPr>
        <w:pStyle w:val="TextBody"/>
        <w:bidi w:val="0"/>
        <w:spacing w:before="240" w:after="283"/>
        <w:jc w:val="both"/>
        <w:rPr>
          <w:rFonts w:ascii="Times New Roman" w:hAnsi="Times New Roman"/>
          <w:sz w:val="20"/>
        </w:rPr>
      </w:pPr>
      <w:r>
        <w:rPr>
          <w:rFonts w:ascii="Times New Roman" w:hAnsi="Times New Roman"/>
          <w:b/>
          <w:i/>
          <w:color w:val="000000"/>
          <w:sz w:val="20"/>
        </w:rPr>
        <w:t>Deferred Financing Costs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Deferred financing costs related to a recognized debt liability are recorded as a reduction of the carrying amount of the debt liability and amortized to interest expense using the effective interest method over the repayment term of the debt. </w:t>
      </w:r>
    </w:p>
    <w:p>
      <w:pPr>
        <w:pStyle w:val="TextBody"/>
        <w:bidi w:val="0"/>
        <w:spacing w:before="240" w:after="283"/>
        <w:jc w:val="both"/>
        <w:rPr>
          <w:rFonts w:ascii="Times New Roman" w:hAnsi="Times New Roman"/>
          <w:sz w:val="20"/>
        </w:rPr>
      </w:pPr>
      <w:r>
        <w:rPr>
          <w:rFonts w:ascii="Times New Roman" w:hAnsi="Times New Roman"/>
          <w:b/>
          <w:i/>
          <w:color w:val="000000"/>
          <w:sz w:val="20"/>
        </w:rPr>
        <w:t>Cash Equivalents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considers all highly liquid investments with original maturities of three months or less at the date of purchase to be cash equivalents. </w:t>
      </w:r>
    </w:p>
    <w:p>
      <w:pPr>
        <w:pStyle w:val="TextBody"/>
        <w:bidi w:val="0"/>
        <w:spacing w:before="240" w:after="283"/>
        <w:jc w:val="both"/>
        <w:rPr>
          <w:rFonts w:ascii="Times New Roman" w:hAnsi="Times New Roman"/>
          <w:sz w:val="20"/>
        </w:rPr>
      </w:pPr>
      <w:r>
        <w:rPr>
          <w:rFonts w:ascii="Times New Roman" w:hAnsi="Times New Roman"/>
          <w:b/>
          <w:i/>
          <w:color w:val="000000"/>
          <w:sz w:val="20"/>
        </w:rPr>
        <w:t>Restricted Cash</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2024 and 2023, the Company maintained two letters of credit totaling $0.5 million for the benefit of the landlord of its leased property. The Company was required to maintain a separate cash balance of $0.5 million to secure the letters of credit. Related to this separate cash balance, the Company classified $0.5 million as restricted cash (non-current) on its consolidated balance sheets as of December 31, 2024 and 2023.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cash equivalents and restricted cash on the consolidated statements of cash flows includes $0.5 million of restricted cash in each of the years presented.</w:t>
      </w:r>
    </w:p>
    <w:p>
      <w:pPr>
        <w:pStyle w:val="TextBody"/>
        <w:bidi w:val="0"/>
        <w:spacing w:before="240" w:after="283"/>
        <w:jc w:val="both"/>
        <w:rPr>
          <w:rFonts w:ascii="Times New Roman" w:hAnsi="Times New Roman"/>
          <w:sz w:val="20"/>
        </w:rPr>
      </w:pPr>
      <w:r>
        <w:rPr>
          <w:rFonts w:ascii="Times New Roman" w:hAnsi="Times New Roman"/>
          <w:b/>
          <w:i/>
          <w:color w:val="000000"/>
          <w:sz w:val="20"/>
        </w:rPr>
        <w:t>Accounts Receivable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Accounts receivable are presented net of an allowance for credit losses, which is an estimate of amounts that may not be collectible. The Company performs ongoing credit evaluations of its customers and monitors economic conditions to identify facts and circumstances that may indicate its receivables are at risk of collection. The Company provides reserves against accounts receivable for estimated credit losses, if any, that may result from a customer’s inability to pay based on the composition of its accounts receivable, current economic conditions and historical credit loss activity. Amounts deemed uncollectible are charged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written-off against the reserve. As of December 31, 2024 and 2023, the Company had no allowance for credit losses. During the years ended December 31, 2024, 2023 and 2022, the Company did not record any provisions for credit losses and has written off only insignificant balances. </w:t>
      </w:r>
    </w:p>
    <w:p>
      <w:pPr>
        <w:pStyle w:val="TextBody"/>
        <w:bidi w:val="0"/>
        <w:spacing w:before="240" w:after="283"/>
        <w:jc w:val="both"/>
        <w:rPr>
          <w:rFonts w:ascii="Times New Roman" w:hAnsi="Times New Roman"/>
          <w:sz w:val="20"/>
        </w:rPr>
      </w:pPr>
      <w:r>
        <w:rPr>
          <w:rFonts w:ascii="Times New Roman" w:hAnsi="Times New Roman"/>
          <w:b/>
          <w:i/>
          <w:color w:val="000000"/>
          <w:sz w:val="20"/>
        </w:rPr>
        <w:t>Inventory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Inventory is valued at the lower of cost or net realizable value. Cost is computed using the first-in, first-out method. The Company regularly reviews inventory quantities on-hand for excess and obsolete inventory and, when circumstances indicate, records charges to write down inventories to their estimated net realizable value, after evaluating historical sales, future demand, market conditions and expected product life cycles. Such charges are classified as cost of revenue in the consolidated statements of operations. Any write-down of inventory to net realizable value creates a new cost basis.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At the end of each reporting period, the Company assesses whether losses should be accrued on long-term manufacturing purchase commitments in accordance with ASC Topic 330, </w:t>
      </w:r>
      <w:r>
        <w:rPr>
          <w:rFonts w:ascii="Times New Roman" w:hAnsi="Times New Roman"/>
          <w:i/>
          <w:color w:val="000000"/>
          <w:sz w:val="20"/>
        </w:rPr>
        <w:t>Inventory</w:t>
      </w:r>
      <w:r>
        <w:rPr>
          <w:rFonts w:ascii="Times New Roman" w:hAnsi="Times New Roman"/>
          <w:color w:val="000000"/>
          <w:sz w:val="20"/>
        </w:rPr>
        <w:t xml:space="preserve">, which requires that losses that are expected to arise from firm, noncancelable and unhedged commitments for the future purchase of inventory, measured in the same way as inventory losses, should be recognized in the current period in the consolidated statements of operations unless they are deemed recoverable through firm sales contracts or when there are other circumstances that reasonably assure continuing sales without price decline. As of the end of each reporting period presented in the accompanying consolidated financial statements, the Company did not identify any potential losses arising from remaining future purchase commitments as compared to estimated future customer sales through the remainder of the term of the manufacturing purchase commitment and, as a result, did not recognize any loss provision for future-period remaining purchase commitments for the year ended December 31, 2024.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Spare Parts Inventory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Spare parts are used in aviation operations and are generally not for sale. Spare parts inventory is comprised of repairable and expendable spare aircraft parts, which are valued at the lower of cost or net realizable value, using the specific identification method. Storage costs and miscellaneous materials and supplies costs related to inventory or to support flight equipment are expensed as incurred. As of December 31, 2024, spare parts inventory of $4.0 million is included within prepaid expenses and other current assets on the accompanying consolidated balance sheets. The Company had no spare parts inventory as of December 31, 2023. The Company determines, based on the evidence that exists, whether or not it is appropriate to maintain a reserve for excess and obsolete spare parts inventory. The reserve is based on historical experience related to the disposal of inventory due to damage, physical deterioration, obsolescence, or other causes. As of December 31, 2024, the Company had no allowance for spare parts excess and obsolescence. </w:t>
      </w:r>
    </w:p>
    <w:p>
      <w:pPr>
        <w:pStyle w:val="TextBody"/>
        <w:bidi w:val="0"/>
        <w:spacing w:before="240" w:after="283"/>
        <w:jc w:val="both"/>
        <w:rPr>
          <w:rFonts w:ascii="Times New Roman" w:hAnsi="Times New Roman"/>
          <w:sz w:val="20"/>
        </w:rPr>
      </w:pPr>
      <w:r>
        <w:rPr>
          <w:rFonts w:ascii="Times New Roman" w:hAnsi="Times New Roman"/>
          <w:b/>
          <w:i/>
          <w:color w:val="000000"/>
          <w:sz w:val="20"/>
        </w:rPr>
        <w:t>Business Combinations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determining whether an acquisition should be accounted for as a business combination or asset acquisition, the Company first determines whether substantially all of the fair value of the gross assets acquired is concentrated in a single identifiable asset or a group of similar identifiable assets. If this is the case, the single identifiable asset or the group of similar assets is not deemed to be a business and the acquisition is accounted for as an asset acquisition. If this is not the case, the Company then further evaluates whether the acquisition includes, at a minimum, an input and a substantive process that together significantly contribute to the ability to create outputs. If so, the Company concludes that the acquisition is a business and accounts for it as a business combination.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accounts for business combinations using the acquisition method of accounting. In accordance with this method, assets acquired and liabilities assumed are recorded at their respective fair values at the acquisition date. The fair value of the consideration paid is assigned to the assets acquired and liabilities assumed based on their respective fair values. Goodwill represents the excess of the purchase price over the estimated fair values of the assets acquired and liabilities assumed.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Determining the fair value of assets acquired and liabilities assumed is judgmental in nature and can involve the use of significant estimates and assumptions. Fair value and useful life determinations are based on, among other things, valuations that use information and assumptions provided by management, which consider management’s best estimates of inputs and assumptions that a market participant would use. Actual results may vary from these estimates and may result in adjustments to goodwill and acquisition date fair values of assets and liabilities during a measurement period or upon a final determination of asset and liability fair values, whichever comes first. Adjustments to fair values of assets and liabilities made after the end of the measurement period are recorded within operating results.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Transaction costs related to business combinations are expensed as incurred and are included in selling, general and administrative expense in the consolidated statements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Asset Acquisitions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measures and recognizes asset acquisitions that are not deemed to be business combinations based on the cost to acquire the asset or group of assets, which includes transaction costs. Goodwill is not recognized in asset acquisitions. In an asset acquisition, the cost allocated to acquire in-process research and development (“IPR&amp;D”) with no alternative future use is charged to expense at the acquisition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August 2, 2023, the Company acquired certain assets related to lung and heart perfusion technology from Bridge to Life Ltd. and its subsidiary Tevosol, Inc., together (“BTL”). The Company intends to further develop these technologies to expand its product offerings and indications for organ transplantation. The Company accounted for the purchase of BTL as an asset acquisition as substantially all of the fair value of gross assets acquired were concentrated on a single set of identifiable activities consisting of lung and heart perfusion technology, referred to as the in-process research and development (“IPR&amp;D”) asset. Due to the stage of development of the IPR&amp;D asset at the date of acquisition, it was not yet probable that there was future economic benefit from this asset. Absent successful clinical results and regulatory approval for the asset applications, there was no alternative future use associated with the asset. Accordingly, the value of the IPR&amp;D asset of $27.2 million was expensed as research and development expense during the year ended December 31, 2023 in the consolidated statements of operations.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Goodwill and Acquired Intangible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records goodwill when consideration paid in a business combination exceeds the value of the net assets acquired. The Company’s estimates of fair value are based upon assumptions believed to be reasonable at that time, but that are inherently uncertain and unpredictable. Goodwill is not amortized, but rather is tested for impairment annually in the fourth quarter, or more frequently if facts and circumstances warrant a review, such as significant underperformance of the business in relation to expectations, significant negative industry or economic trends and significant changes or planned changes in the use of the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determined that there is a single reporting unit for the purpose of conducting this goodwill impairment assessment. The Company has the option of performing either a qualitative or quantitative assessment to determine whether further impairment testing is necessary. If it is more-likely-than-not that the fair value of a reporting unit is less than its carrying amount, a quantitative impairment test will be required. The quantitative goodwill impairment test requires management to estimate and compare the fair value of the reporting unit with its carrying value. If the fair value of the reporting unit exceeds the carrying value of the net assets, goodwill is not impaired. If the fair value of the reporting unit is less than the carrying value, the difference is recorded as an impairment loss up to the amount of goodwill.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Intangible assets are recorded at their estimated fair values at the date of acquisition and are reported net of accumulated amortization. The Company amortizes acquired intangible assets with finite lives over their estimated useful lives based on the pattern of consumption of the economic benefits or, if that pattern cannot be readily determined, on a straight-line basis. </w:t>
      </w:r>
    </w:p>
    <w:p>
      <w:pPr>
        <w:pStyle w:val="TextBody"/>
        <w:bidi w:val="0"/>
        <w:spacing w:before="240" w:after="283"/>
        <w:jc w:val="both"/>
        <w:rPr>
          <w:rFonts w:ascii="Times New Roman" w:hAnsi="Times New Roman"/>
          <w:sz w:val="20"/>
        </w:rPr>
      </w:pPr>
      <w:r>
        <w:rPr>
          <w:rFonts w:ascii="Times New Roman" w:hAnsi="Times New Roman"/>
          <w:b/>
          <w:i/>
          <w:color w:val="000000"/>
          <w:sz w:val="20"/>
        </w:rPr>
        <w:t>Property, Plant and Equipment</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Property, plant and equipment are stated at cost less accumulated depreciation and amortization. Depreciation and amortization expense is recognized using the straight-line method over the estimated useful life of each asset as follows: </w:t>
      </w:r>
    </w:p>
    <w:tbl>
      <w:tblPr>
        <w:tblW w:w="8683" w:type="dxa"/>
        <w:jc w:val="left"/>
        <w:tblInd w:w="0" w:type="dxa"/>
        <w:tblLayout w:type="fixed"/>
        <w:tblCellMar>
          <w:top w:w="28" w:type="dxa"/>
          <w:left w:w="28" w:type="dxa"/>
          <w:bottom w:w="28" w:type="dxa"/>
          <w:right w:w="28" w:type="dxa"/>
        </w:tblCellMar>
      </w:tblPr>
      <w:tblGrid>
        <w:gridCol w:w="3526"/>
        <w:gridCol w:w="146"/>
        <w:gridCol w:w="501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Transplant aircraft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years</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Flight school aircraft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OCS Consoles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trade show and training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Shorter of term of lease or the useful life of the improvement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Depreciation and amortization expense of aircraft is recognized over the estimated useful lives of each asset to their salvage value. Salvage values estimated for transplant and flight school aircraft are approximately 50% of the original purchase price.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Costs incurred for OCS Consoles are recorded as inventory unless and until the Company determines that an OCS Console will either be used for the NOP or loaned to a customer for its use, at which time the Company reclassifies the cost of the OCS Console from inventory to property, plant and equipment and begins to depreciate the OCS Console over its estimated useful life. Such depreciation expense is classified as a cost of revenue. The Company retains title to all OCS Consoles loaned to customers.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Costs for capital assets not yet placed into service are capitalized as construction-in-progress and depreciated once placed into service. Upon retirement or sale, the cost of assets disposed of and the related accumulated depreciation and amortization are removed from the accounts and any resulting gain or loss is included in income (loss) from operations. Expenditures for repairs and maintenance are charged to expense as incurred. </w:t>
      </w:r>
    </w:p>
    <w:p>
      <w:pPr>
        <w:pStyle w:val="TextBody"/>
        <w:bidi w:val="0"/>
        <w:spacing w:before="240" w:after="283"/>
        <w:jc w:val="both"/>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Long-lived assets consist primarily of property, plant and equipment, right-of-use assets and intangible assets with finite lives.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in income (loss) from operations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during the years ended December 31, 2024, 2023 and 2022.</w:t>
      </w:r>
    </w:p>
    <w:p>
      <w:pPr>
        <w:pStyle w:val="TextBody"/>
        <w:bidi w:val="0"/>
        <w:spacing w:before="240" w:after="283"/>
        <w:jc w:val="both"/>
        <w:rPr>
          <w:rFonts w:ascii="Times New Roman" w:hAnsi="Times New Roman"/>
          <w:sz w:val="20"/>
        </w:rPr>
      </w:pPr>
      <w:r>
        <w:rPr>
          <w:rFonts w:ascii="Times New Roman" w:hAnsi="Times New Roman"/>
          <w:b/>
          <w:i/>
          <w:color w:val="000000"/>
          <w:sz w:val="20"/>
        </w:rPr>
        <w:t>Software Development Costs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incurs costs to develop computer software that is embedded in the hardware components of the Company’s OCS Console and OCS Perfusion Sets. Research and development costs related to this software are expensed as incurred, except for costs of internally developed or externally purchased software that qualify for capitalization. Software development costs incurred subsequent to the establishment of technological feasibility, but prior to the general release of the product, are capitalized and amortized over their estimated useful life. Due to the short time period between achieving technological feasibility and product release and the insignificant amount of costs incurred during such periods, the Company did not capitalize any software development costs during the years ended December 31, 2024, 2023 and 2022.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also capitalizes development costs related to internal-use software when it is probable that the expenditures will result in additional functionality. Costs incurred in the preliminary and post-implementation stages of development are expensed as incurred. Once an application has reached the development stage, internal and external costs, if direct and incremental, are capitalized until the software is substantially complete and ready for its intended use and depreciated over their estimated useful life. Capitalization ceases upon completion of all substantial testing performed to ensure the product is ready for its intended use. The Company capitalized costs associated with the development of internal-use software during the year ended December 31, 2024 (see Note 5).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Company accounts for leases under ASC Topic 842, </w:t>
      </w:r>
      <w:r>
        <w:rPr>
          <w:rFonts w:ascii="Times New Roman" w:hAnsi="Times New Roman"/>
          <w:i/>
          <w:color w:val="000000"/>
          <w:sz w:val="20"/>
        </w:rPr>
        <w:t>Leases</w:t>
      </w:r>
      <w:r>
        <w:rPr>
          <w:rFonts w:ascii="Times New Roman" w:hAnsi="Times New Roman"/>
          <w:color w:val="000000"/>
          <w:sz w:val="20"/>
        </w:rPr>
        <w:t xml:space="preserve"> (“ASC 842”). In accordance with ASC 842, the Company accounts for a contract as a lease when it has the right to control the asset for a period of time while obtaining substantially all of the asset’s economic benefits. The Company determines if an arrangement is a lease or contains an embedded lease at inception. For arrangements that meet the definition of a lease, the Company determines the initial classification and measurement of its right-of-use asset and lease liability at the lease commencement date and thereafter if modified. The lease term includes any renewal options that the Company is reasonably assured to exercise. The present value of lease payments is determined by using the interest rate implicit in the lease, if that rate is readily determinable; otherwise, the Company uses its estimated secured incremental borrowing rate for that lease term. The Company’s policy is to not record leases with an original term of twelve months or less on its consolidated balance sheets and recognize those lease payments in the income statement on a straight-line basis over the lease term.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rent, the leases may require the Company to pay additional costs, such as utilities, maintenance and other operating costs, which are generally referred to as non-lease components. The Company has elected to not separate lease and non-lease components. Only the fixed costs for lease components and their associated non-lease components are accounted for as a single lease component and recognized as part of a right-of-use asset and lease liability. Rent expense for operating leases is recognized on a straight-line basis over the reasonably assured lease term based on the total lease payments and is included in operating expense in the consolidated statements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 from leasing arrangements is not subject to the revenue standard for contracts with customers and remains separately accounted for under ASC 842. In accordance with ASC 842, lessors should classify and account for a lease with variable lease payments that do not depend on a reference index or a rate as an operating lease if the lease would have been classified as a sales-type lease or a direct financing lease and the lessor would have otherwise recognized a day-one loss. The Company’s OCS Console implied rental agreements qualify as sales-type leases with certain variable payments that meet specified criteria such that a day-one loss would be recognized under ASC 842. Therefore, in accordance with ASC 842, such leases are accounted for as operating leases and the Company does not derecognize the leased asset (the OCS Console) at the time of the sale but depreciates the leased asset over the useful life of the asset.</w:t>
      </w:r>
    </w:p>
    <w:p>
      <w:pPr>
        <w:pStyle w:val="TextBody"/>
        <w:bidi w:val="0"/>
        <w:spacing w:before="240" w:after="283"/>
        <w:jc w:val="both"/>
        <w:rPr>
          <w:rFonts w:ascii="Times New Roman" w:hAnsi="Times New Roman"/>
          <w:sz w:val="20"/>
        </w:rPr>
      </w:pPr>
      <w:r>
        <w:rPr>
          <w:rFonts w:ascii="Times New Roman" w:hAnsi="Times New Roman"/>
          <w:b/>
          <w:i/>
          <w:color w:val="000000"/>
          <w:sz w:val="20"/>
        </w:rPr>
        <w:t>Fair Value Measurements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1—Quoted prices in active markets for identical assets or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3—Unobservable inputs that are supported by little or no market activity and that are significant to determining the fair value of the assets or liabilities, including pricing models, discounted cash flow methodologies and similar techniques.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carrying values of the Company’s accounts receivable, accounts payable and accrued expenses approximate their fair values due to the short-term nature of these assets and liabilities. The carrying value of the Company’s long-term debt approximates its fair value (a level 2 measurement) at each balance sheet date due to its variable interest rate, which approximates a market interest rate. The Company's 1.50% convertible senior notes, due 2028 (the "Notes") are carried at the face value less unamortized debt discount and issuance costs on the consolidated balance sheets, and the fair value of the convertible senior notes is presented at each reporting period for disclosure purposes only (see Note 8). </w:t>
      </w:r>
    </w:p>
    <w:p>
      <w:pPr>
        <w:pStyle w:val="TextBody"/>
        <w:bidi w:val="0"/>
        <w:spacing w:before="240" w:after="283"/>
        <w:jc w:val="both"/>
        <w:rPr>
          <w:rFonts w:ascii="Times New Roman" w:hAnsi="Times New Roman"/>
          <w:sz w:val="20"/>
        </w:rPr>
      </w:pPr>
      <w:r>
        <w:rPr>
          <w:rFonts w:ascii="Times New Roman" w:hAnsi="Times New Roman"/>
          <w:b/>
          <w:i/>
          <w:color w:val="000000"/>
          <w:sz w:val="20"/>
        </w:rPr>
        <w:t>Segment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manages its operations as a single segment for the purposes of assessing performance and making operating decisions. The Company has developed and commercialized a proprietary system to preserve and deliver human organs for transplant in a near-physiologic condition to address the limitations of cold storage organ preservation. </w:t>
      </w:r>
    </w:p>
    <w:p>
      <w:pPr>
        <w:pStyle w:val="TextBody"/>
        <w:bidi w:val="0"/>
        <w:spacing w:before="240" w:after="283"/>
        <w:jc w:val="both"/>
        <w:rPr>
          <w:rFonts w:ascii="Times New Roman" w:hAnsi="Times New Roman"/>
          <w:sz w:val="20"/>
        </w:rPr>
      </w:pPr>
      <w:r>
        <w:rPr>
          <w:rFonts w:ascii="Times New Roman" w:hAnsi="Times New Roman"/>
          <w:b/>
          <w:i/>
          <w:color w:val="000000"/>
          <w:sz w:val="20"/>
        </w:rPr>
        <w:t>Product Warranties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provides a one-year warranty on its OCS Consoles and disposable sets and replaces or repairs any OCS Console or disposable set that does not function in accordance with the product specifications. OCS Consoles returned to the Company may be refurbished and redeployed. Estimated warranty costs are recorded at the time of shipment of the OCS Console or disposable set. Warranty costs are estimated based on the current expected product replacement or repair cost and expected replacement or repair rates based on historical experience. The Company evaluates its warranty accrual at the end of each reporting period and makes adjustments as necessary. As of December 31, 2024 and 2023, the warranty accrual was less than $0.1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generates net product revenue primarily from sales of its single-use, organ-specific disposable sets used on its organ-specific OCS Consoles. To a lesser extent, the Company also generates product revenue from the sale of OCS Consoles to customers and the implied rental of OCS Consoles loaned to customers at no charge. For each new transplant procedure, these customers purchase an additional OCS disposable set for use on their existing organ-specific OCS Console. The Company also generates service revenue by providing outsourced organ procurement, OCS perfusion management and transplant logistics services under its NOP in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recognizes revenue from sales to customers applying the following five steps: (1) identification of the contract, or contracts, with a customer, (2) identification of the performance obligations in the contract, (3) determination of the transaction price, (4) allocation of the transaction price to the performance obligations in the contract, and (5) recognition of revenue when, or as, performance obligations are satisfied.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Substantially all of the Company’s customer contracts have multiple-performance obligations that contain deliverables consisting of OCS Perfusion Sets and OCS Solutions. Customer contract deliverables may also include organ procurement, OCS perfusion management and transplant logistics services under the Company's NOP or OCS Console, whether sold or loaned to the customer. The Company evaluates each promise within a multiple-performance obligation arrangement to determine whether it represents a distinct performance obligation. The primary performance obligations in the Company’s customer arrangements from which it derives revenue are the OCS Perfusion Sets, the OCS Solutions, the OCS Console, organ procurement, OCS perfusion management and transplant logistics services.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When a customer order includes an OCS Console, the Company has determined that customer training and the equipment set-up of the OCS Console, each performed by the Company, are not distinct because they are not sold on a standalone basis and can only be performed by the Company in conjunction with a sale or loan of its OCS Console. In addition, the Company has determined that the OCS Console itself is not distinct because the customer cannot benefit from the OCS Console without the training and equipment set-up having been completed. As a result, when the order includes an OCS Console, the Company has concluded that training, OCS Console equipment set-up, and the OCS Console itself are highly interdependent and represent a single, combined performance obligation. The Company recognizes revenue from the single, combined performance obligation only once the OCS Console has arrived at the customer site and the training and equipment set-up have been completed by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Customer orders may include the loan of an OCS Console as well as OCS disposable sets used in each transplant procedure. When the Company loans the OCS Console to the customer, it retains title to the console at all times and does not require minimum purchase commitments from the customer related to any OCS products. In such cases, the Company invoices the customer for OCS disposable sets based on customer orders received for each new transplant procedure and the prices set forth in the customer agreement. Over time, the Company typically recovers the cost of the loaned OCS Console through the customer’s continued purchasing and use of additional OCS disposable sets. For these reasons, the Company has determined that part of the arrangement consideration for the disposable set is an implied rental payment for use of the OCS Console. Therefore, the Company allocates the arrangement consideration between the lease deliverables (i.e., the OCS Console) and non-lease deliverables (i.e., the OCS disposable sets) based on the relative estimated standalone selling price of each distinct performance obligation. To date, the amounts allocated to lease deliverables have been insignificant.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Revenue from sales to customers of OCS Perfusion Sets, OCS Solutions and OCS Consoles is classified as net product revenue in the Company's consolidated statements of operations. Revenue from sales to customers of organ procurement, OCS perfusion management and transplant logistics services is classified as service revenue in the Company’s consolidated statements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Revenue is recognized when control is transferred to the customer in an amount that reflects the consideration the Company expects to be entitled to in exchange for the product or services. When a customer order includes disposable sets and organ procurement, OCS perfusion management or transplant logistics services, the Company has determined that the disposable sets and services constitute separate performance obligations and recognizes revenue as the disposable sets and services are each delivered to the customer. </w:t>
      </w:r>
    </w:p>
    <w:p>
      <w:pPr>
        <w:pStyle w:val="TextBody"/>
        <w:bidi w:val="0"/>
        <w:spacing w:before="240" w:after="240"/>
        <w:jc w:val="both"/>
        <w:rPr>
          <w:rFonts w:ascii="Times New Roman" w:hAnsi="Times New Roman"/>
          <w:sz w:val="20"/>
        </w:rPr>
      </w:pPr>
      <w:r>
        <w:rPr>
          <w:rFonts w:ascii="Times New Roman" w:hAnsi="Times New Roman"/>
          <w:i/>
          <w:color w:val="000000"/>
          <w:sz w:val="20"/>
        </w:rPr>
        <w:t>Payments Made to Customers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some of the Company’s customer clinical trial agreements, the Company makes payments to its customers for reimbursements of clinical trial materials and for specified clinical documentation related to the customer’s use of its OCS products. The Company also makes payments to customers involved in post-approval studies for information related to the transplant procedures performed. The Company determines the appropriate accounting treatments for these payments depending on the nature of the payment and whether they are for distinct goods or services.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sz w:val="20"/>
        </w:rPr>
      </w:pPr>
      <w:r>
        <w:rPr>
          <w:rFonts w:ascii="Times New Roman" w:hAnsi="Times New Roman"/>
          <w:i/>
          <w:color w:val="000000"/>
          <w:sz w:val="20"/>
        </w:rPr>
        <w:t>Contract Assets and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recognizes a receivable at the point in time at which it has an unconditional right to payment. Such receivables are not contract assets. Contract assets arise from unbilled amounts in customer arrangements when revenue recognized exceeds the amount billed to the customer and the Company’s right to payment is not just subject to the passage of time. The Company had no contract assets as of December 31, 2024 and 2023.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Contract liabilities represent the Company’s obligation to transfer goods or services to a customer for which it has received consideration (or the amount is due) from the customer. The Company has determined that its only contract liabilities are deferred revenue, which consists of amounts that have been invoiced but that have not been recognized as revenue. </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Remaining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generally satisfies performance obligations within one year of the contract inception date, which amounts are included in deferred revenue and are not material.</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Other Revenue Considerations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only includes estimated variable amounts in the transaction price to the extent it is probable that a significant reversal of cumulative revenue recognized will not occur when the uncertainty associated with the variable consideration is resolved. The Company does not assess whether promised goods or services are performance obligations if they are deemed immaterial in the context of the contract with the customer. Additionally, the Company does not assess whether a contract has a significant financing component if the expectation at contract inception is that the period between payment by the customer and the transfer of the promised goods or services to the customer will be one year or less. Revenue is reported net of taxes.</w:t>
      </w:r>
    </w:p>
    <w:p>
      <w:pPr>
        <w:pStyle w:val="TextBody"/>
        <w:bidi w:val="0"/>
        <w:spacing w:before="240" w:after="240"/>
        <w:jc w:val="both"/>
        <w:rPr>
          <w:rFonts w:ascii="Times New Roman" w:hAnsi="Times New Roman"/>
          <w:sz w:val="20"/>
        </w:rPr>
      </w:pPr>
      <w:r>
        <w:rPr>
          <w:rFonts w:ascii="Times New Roman" w:hAnsi="Times New Roman"/>
          <w:i/>
          <w:color w:val="000000"/>
          <w:sz w:val="20"/>
        </w:rPr>
        <w:t>Distributors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markets and sells its products to end customers globally. A small portion of the Company’s revenue is generated by sales to a limited number of distributors in Europe and Asia-Pacific. When the Company transacts with a distributor, its contractual arrangement is with the distributor and not with the end customer. Whether the Company transacts business with and receives the order from a distributor or directly from an end customer, its revenue recognition policy and resulting pattern of revenue recognition for the order are the same. </w:t>
      </w:r>
    </w:p>
    <w:p>
      <w:pPr>
        <w:pStyle w:val="TextBody"/>
        <w:bidi w:val="0"/>
        <w:spacing w:before="240" w:after="283"/>
        <w:jc w:val="both"/>
        <w:rPr>
          <w:rFonts w:ascii="Times New Roman" w:hAnsi="Times New Roman"/>
          <w:sz w:val="20"/>
        </w:rPr>
      </w:pPr>
      <w:r>
        <w:rPr>
          <w:rFonts w:ascii="Times New Roman" w:hAnsi="Times New Roman"/>
          <w:b/>
          <w:i/>
          <w:color w:val="000000"/>
          <w:sz w:val="20"/>
        </w:rPr>
        <w:t>Research, Development and Clinical Trials Costs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Research, development and clinical trials expenses consist of costs incurred for research activities, product development, hardware and software engineering and clinical trial activities, including salaries and bonuses, stock-based compensation, employee benefits, facilities costs, laboratory supplies, depreciation, testing, regulatory, data management and consulting costs.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Research, development and clinical trials costs are expensed as incurred. Advance payments for goods or services to be received in the future for use in research, development and clinical trials activities are recorded as prepaid expenses. Such prepaid expenses are recognized as an expense when the related goods have been delivered or the related services have been performed, or when it is no longer expected that the goods will be delivered or the services rendered. </w:t>
      </w:r>
    </w:p>
    <w:p>
      <w:pPr>
        <w:pStyle w:val="TextBody"/>
        <w:bidi w:val="0"/>
        <w:spacing w:before="240" w:after="283"/>
        <w:jc w:val="both"/>
        <w:rPr>
          <w:rFonts w:ascii="Times New Roman" w:hAnsi="Times New Roman"/>
          <w:sz w:val="20"/>
        </w:rPr>
      </w:pPr>
      <w:r>
        <w:rPr>
          <w:rFonts w:ascii="Times New Roman" w:hAnsi="Times New Roman"/>
          <w:b/>
          <w:i/>
          <w:color w:val="000000"/>
          <w:sz w:val="20"/>
        </w:rPr>
        <w:t>Patent Costs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patent-related costs incurred in connection with filing and prosecuting patent applications are expensed as incurred due to the uncertainty about the recovery of the expenditure. Amounts incurred are classified as selling, general and administrative expenses. </w:t>
      </w:r>
    </w:p>
    <w:p>
      <w:pPr>
        <w:pStyle w:val="TextBody"/>
        <w:bidi w:val="0"/>
        <w:spacing w:before="240" w:after="283"/>
        <w:jc w:val="both"/>
        <w:rPr>
          <w:rFonts w:ascii="Times New Roman" w:hAnsi="Times New Roman"/>
          <w:sz w:val="20"/>
        </w:rPr>
      </w:pPr>
      <w:r>
        <w:rPr>
          <w:rFonts w:ascii="Times New Roman" w:hAnsi="Times New Roman"/>
          <w:b/>
          <w:i/>
          <w:color w:val="000000"/>
          <w:sz w:val="20"/>
        </w:rPr>
        <w:t>Foreign Currency Translation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functional currency of each of the Company’s foreign subsidiaries is the currency of the local country. Assets and liabilities of the Company’s foreign subsidiaries are translated into U.S. dollars using the period-end exchange rates, and income and expense items are translated into U.S. dollars using average exchange rates in effect during each period. The effects of these foreign currency translation adjustments are included in accumulated other comprehensive income (loss), a separate component of stockholders’ equity.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also incurs transaction gains and losses resulting from intercompany transactions as well as transactions with customers or vendors denominated in currencies other than the functional currency of the legal entity in which the transaction is recorded. Realized and unrealized foreign currency transaction gains (losses) are included in the consolidated statements of operations as a component of other income (expense) and totaled $(0.7) million, $0.3 million and $(1.3) million for the years ended December 31, 2024, 2023 and 2022, respectively. </w:t>
      </w:r>
    </w:p>
    <w:p>
      <w:pPr>
        <w:pStyle w:val="TextBody"/>
        <w:bidi w:val="0"/>
        <w:spacing w:before="240" w:after="283"/>
        <w:jc w:val="both"/>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accounts for stock-based awards granted to employees, non-employees and directors based on the fair value of the award on the date of grant. The fair value of option awards is measured using the Black-Scholes option-pricing model. The fair value of restricted common stock awards is measured based on the difference between market value of the Company’s common stock on date of grant and the purchase price (if any). The Company measures compensation expense for restricted common stock units based on the fair value on the date of grant using the market value of the Company’s common stock. Generally, the Company issues awards with only service-based vesting conditions. Compensation expense for those awards is recognized over the vesting period of the respective award using the straight-line method. The Company accounts for forfeitures as they occur and records compensation cost assuming all option holders will complete the requisite service period. When the unvested portion of an award is forfeited, the Company reverses compensation expense previously recognized in the period of the forfeiture.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classifies stock-based compensation expense in its consolidated statements of operations in the same manner in which the award recipient’s payroll costs are classified or in which the award recipient’s service payments are classified. </w:t>
      </w:r>
    </w:p>
    <w:p>
      <w:pPr>
        <w:pStyle w:val="TextBody"/>
        <w:bidi w:val="0"/>
        <w:spacing w:before="240" w:after="283"/>
        <w:jc w:val="both"/>
        <w:rPr>
          <w:rFonts w:ascii="Times New Roman" w:hAnsi="Times New Roman"/>
          <w:sz w:val="20"/>
        </w:rPr>
      </w:pPr>
      <w:r>
        <w:rPr>
          <w:rFonts w:ascii="Times New Roman" w:hAnsi="Times New Roman"/>
          <w:b/>
          <w:i/>
          <w:color w:val="000000"/>
          <w:sz w:val="20"/>
        </w:rPr>
        <w:t>Comprehensive Income (Loss) and Accumulated Other Comprehensive Income (Loss)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Comprehensive income (loss) includes net income (loss) as well as other changes in stockholders’ equity that result from transactions and economic events other than those with stockholders. The Company’s only elements of other comprehensive income (loss) are foreign currency translation adjustments and unrealized gains (losses) on marketable securities. As of December 31, 2024, accumulated other comprehensive income (loss) on the consolidated balance sheets consists only of foreign currency translation adjustments. </w:t>
      </w:r>
    </w:p>
    <w:p>
      <w:pPr>
        <w:pStyle w:val="TextBody"/>
        <w:bidi w:val="0"/>
        <w:spacing w:before="240" w:after="283"/>
        <w:jc w:val="both"/>
        <w:rPr>
          <w:rFonts w:ascii="Times New Roman" w:hAnsi="Times New Roman"/>
          <w:sz w:val="20"/>
        </w:rPr>
      </w:pPr>
      <w:r>
        <w:rPr>
          <w:rFonts w:ascii="Times New Roman" w:hAnsi="Times New Roman"/>
          <w:b/>
          <w:i/>
          <w:color w:val="000000"/>
          <w:sz w:val="20"/>
        </w:rPr>
        <w:t>Net Income (Loss) per Share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Basic net income (loss) per common share is computed by dividing the net income (loss) by the weighted average number of shares of common stock outstanding for the period. Diluted net income (loss) per common share is computed by dividing net income (loss) by the weighted average number of shares of common stock outstanding for the period, including potential dilutive common shares assuming the dilutive effect of outstanding stock awards, using the treasury stock method, and outstanding convertible notes, using the if-converted method. For periods in which the Company reports a net loss, diluted net loss per common share is the same as basic net loss per common share, since dilutive common shares are not assumed to have been issued if their effect is anti-dilutive.</w:t>
      </w:r>
    </w:p>
    <w:p>
      <w:pPr>
        <w:pStyle w:val="TextBody"/>
        <w:bidi w:val="0"/>
        <w:spacing w:before="240" w:after="283"/>
        <w:jc w:val="both"/>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accounts for income taxes under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realized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analyzing carryback capacity in periods with taxable income, reversal of existing taxable temporary differences and estimating the future taxable profits expected and considering prudent and feasible tax planning strategies.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2023, the FASB issued ASU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adopted this guidance as of January 1, 2024, and the adoption did not have a material impact on its consolidated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requires public entities, on an annual basis, to provide disclosure of specific categories in their tax rate reconciliations, as well as disclosure of income taxes paid disaggregated by jurisdiction. ASU 2023-09 is effective for fiscal years beginning after December 15, 2024, with early adoption permitted. The Company is currently assessing the impact of the adoption of this guidance on its consolidated financial statements.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w:t>
      </w:r>
      <w:r>
        <w:rPr>
          <w:rFonts w:ascii="Times New Roman" w:hAnsi="Times New Roman"/>
          <w:color w:val="000000"/>
          <w:sz w:val="20"/>
        </w:rPr>
        <w:t xml:space="preserve"> to improve financial reporting by requiring that public business entities disclose additional information about specific expense categories in the notes to financial statements at interim and annual reporting periods. ASU 2024-03 is effective for annual periods beginning after December 15, 2026, and interim reporting periods beginning after December 15, 2027, with early adoption permitted. ASU 2023-09 allows for adoption using either a prospective or retrospective method. The Company is currently assessing the impact of the adoption of this guidance on its consolidated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Acquisition of Summit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August 16, 2023, the Company acquired Summit pursuant to the terms of an equity purchase agreement. Summit was a charter flight operator based in Bozeman, Montana. The acquisition enabled TransMedics to add aviation transportation services to its NOP and become a comprehensive national provider of donor organ procurement and delivery in the United States.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acquisition was accounted for as a purchase of a business under ASC Topic 805, </w:t>
      </w:r>
      <w:r>
        <w:rPr>
          <w:rFonts w:ascii="Times New Roman" w:hAnsi="Times New Roman"/>
          <w:i/>
          <w:color w:val="000000"/>
          <w:sz w:val="20"/>
        </w:rPr>
        <w:t>Business Combinations</w:t>
      </w:r>
      <w:r>
        <w:rPr>
          <w:rFonts w:ascii="Times New Roman" w:hAnsi="Times New Roman"/>
          <w:color w:val="000000"/>
          <w:sz w:val="20"/>
        </w:rPr>
        <w:t>. Under the acquisition method of accounting, the assets and liabilities were recorded as of the acquisition date, at their respective fair values. The preliminary purchase consideration of $14.9 million reflected an upfront cash payment of $18.0 million, net of cash acquired and working capital adjustments. In 2024, the Company recorded a final working capital adjustment of $0.4 million to the purchase price and goodwill. The Company’s consolidated financial statements as of December 31, 2024 reflect the final allocation of the purchase price to the assets and liabilities assumed based on fair value as of the date of the acquisition.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following tables summarize the final allocation of the purchase price (in thousands): </w:t>
      </w:r>
    </w:p>
    <w:tbl>
      <w:tblPr>
        <w:tblW w:w="5695" w:type="dxa"/>
        <w:jc w:val="left"/>
        <w:tblInd w:w="0" w:type="dxa"/>
        <w:tblLayout w:type="fixed"/>
        <w:tblCellMar>
          <w:top w:w="28" w:type="dxa"/>
          <w:left w:w="28" w:type="dxa"/>
          <w:bottom w:w="28" w:type="dxa"/>
          <w:right w:w="28" w:type="dxa"/>
        </w:tblCellMar>
      </w:tblPr>
      <w:tblGrid>
        <w:gridCol w:w="4251"/>
        <w:gridCol w:w="146"/>
        <w:gridCol w:w="211"/>
        <w:gridCol w:w="676"/>
        <w:gridCol w:w="411"/>
      </w:tblGrid>
      <w:tr>
        <w:trPr/>
        <w:tc>
          <w:tcPr>
            <w:tcW w:w="4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Acquired and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allocation of purchase price consideration,</w:t>
              <w:br/>
              <w:t>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Property, plant and equipment consisted primarily of flight school aircraft and construction-in-progress related to a commercial aircraft hangar that Summit was in the process of constructing at the date of acquisition. Flight school aircraft were valued using market comparisons adjusted for aircraft-specific condition. The fair value of construction-in-progress approximated its cost.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Intangible assets consisted primarily of a customer relationship asset of $2.3 million related to flight school revenue and was valued using the multi-period excess earnings method, a form of the income approach. Significant assumptions and estimates utilized in this model include the revenue growth rate, contract renewal probability and the discount rate. Intangible assets are being amortized on a straight-line basis to selling, general and administrative over their estimated useful lives of 12 years as of the acquisition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Goodwill was recognized for the excess purchase price over the fair value of the net assets acquired. Goodwill is primarily attributable to the workforce of the acquired business (which is not eligible for separate recognition as an identifiable intangible asset) and anticipated synergies between Summit’s existing business processes and the NOP. Goodwill from the acquisition is included within the Company’s one reporting unit and is included in the Company’s enterprise-level annual review for impairment. Goodwill resulting from the acquisition is not deductible for tax purposes.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Deferred tax liabilities relate to the differences between the fair value recognized in purchase accounting and the tax basis of property, plant and equipment and intangible assets. The net deferred tax liability is a source of income to support the recognition of a portion of existing deferred tax assets. Therefore, the Company recorded a tax benefit of $1.7 million in 2023 for the release of a portion of its valuation allowance related to the net deferred tax liabilities recorded in purchase accounting. </w:t>
      </w:r>
    </w:p>
    <w:p>
      <w:pPr>
        <w:pStyle w:val="TextBody"/>
        <w:bidi w:val="0"/>
        <w:jc w:val="both"/>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4. Inventory</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Inventory consisted of the following (in thousands): </w:t>
      </w:r>
    </w:p>
    <w:tbl>
      <w:tblPr>
        <w:tblW w:w="3859" w:type="dxa"/>
        <w:jc w:val="left"/>
        <w:tblInd w:w="0" w:type="dxa"/>
        <w:tblLayout w:type="fixed"/>
        <w:tblCellMar>
          <w:top w:w="28" w:type="dxa"/>
          <w:left w:w="28" w:type="dxa"/>
          <w:bottom w:w="28" w:type="dxa"/>
          <w:right w:w="28" w:type="dxa"/>
        </w:tblCellMar>
      </w:tblPr>
      <w:tblGrid>
        <w:gridCol w:w="1456"/>
        <w:gridCol w:w="146"/>
        <w:gridCol w:w="211"/>
        <w:gridCol w:w="676"/>
        <w:gridCol w:w="146"/>
        <w:gridCol w:w="146"/>
        <w:gridCol w:w="211"/>
        <w:gridCol w:w="676"/>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recorded an immaterial out-of-period adjustment in the fourth quarter of 2024 to reduce inventory by $2.1 million due to inventory-related transactions not being recorded timely and accurately. This adjustment is immaterial to both the current and prior periods.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5. Property, Plant and Equipment, Net</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Property, plant and equipment, net consisted of the following (in thousands): </w:t>
      </w:r>
    </w:p>
    <w:tbl>
      <w:tblPr>
        <w:tblW w:w="6809" w:type="dxa"/>
        <w:jc w:val="left"/>
        <w:tblInd w:w="0" w:type="dxa"/>
        <w:tblLayout w:type="fixed"/>
        <w:tblCellMar>
          <w:top w:w="28" w:type="dxa"/>
          <w:left w:w="28" w:type="dxa"/>
          <w:bottom w:w="28" w:type="dxa"/>
          <w:right w:w="28" w:type="dxa"/>
        </w:tblCellMar>
      </w:tblPr>
      <w:tblGrid>
        <w:gridCol w:w="4156"/>
        <w:gridCol w:w="146"/>
        <w:gridCol w:w="211"/>
        <w:gridCol w:w="781"/>
        <w:gridCol w:w="166"/>
        <w:gridCol w:w="146"/>
        <w:gridCol w:w="211"/>
        <w:gridCol w:w="781"/>
        <w:gridCol w:w="2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Transplant aircraft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Flight school aircraft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OCS Consoles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trade show and training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173,941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years ended December 31, 2024, 2023 and 2022, total depreciation and amortization expense was $19.6 million, $8.1 million and $3.5 million, respectively. Construction-in-progress as of December 31, 2024 primarily relates to capitalized internal-use software that has not yet been placed in service. Construction-in-progress as of December 31, 2023 primarily related to construction of a commercial aircraft hangar at Bozeman Yellowstone International Airport in Bozeman, Montana. The aircraft hangar was placed in service in June 2024 and is included in leasehold improvements as of December 31, 2024. The Company capitalized costs associated with the development of internal-use software of $4.4 million in the year ended December 31, 2024, included in construction-in-progress. The Company did not have capitalized costs for internal-use software in the years ended December 31, 2023 and 2022.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Substantially all of the Company's property, plant and equipment are held in the United States.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6. Goodwill and Intangible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carrying amount of goodwill was $11.5 million and $12.0 million as of December 31, 2024 and 2023, respectively, and related to the Company’s acquisition of Summit. The decrease in goodwill from the year ended December 31, 2023 was due to final working capital adjustments to the purchase price of Summit. Goodwill is not amortized, but instead is reviewed for impairment at least annually or more frequently when events and circumstances occur indicating that the recorded goodwill may be impaired. To date, the Company has had no impairments to goodwill.</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Acquired intangible assets consisted of the following (in thousands): </w:t>
      </w:r>
    </w:p>
    <w:tbl>
      <w:tblPr>
        <w:tblW w:w="9884" w:type="dxa"/>
        <w:jc w:val="left"/>
        <w:tblInd w:w="0" w:type="dxa"/>
        <w:tblLayout w:type="fixed"/>
        <w:tblCellMar>
          <w:top w:w="28" w:type="dxa"/>
          <w:left w:w="28" w:type="dxa"/>
          <w:bottom w:w="28" w:type="dxa"/>
          <w:right w:w="28" w:type="dxa"/>
        </w:tblCellMar>
      </w:tblPr>
      <w:tblGrid>
        <w:gridCol w:w="1921"/>
        <w:gridCol w:w="146"/>
        <w:gridCol w:w="719"/>
        <w:gridCol w:w="1561"/>
        <w:gridCol w:w="146"/>
        <w:gridCol w:w="146"/>
        <w:gridCol w:w="311"/>
        <w:gridCol w:w="844"/>
        <w:gridCol w:w="146"/>
        <w:gridCol w:w="146"/>
        <w:gridCol w:w="689"/>
        <w:gridCol w:w="1381"/>
        <w:gridCol w:w="146"/>
        <w:gridCol w:w="146"/>
        <w:gridCol w:w="336"/>
        <w:gridCol w:w="909"/>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tbl>
      <w:tblPr>
        <w:tblW w:w="9884" w:type="dxa"/>
        <w:jc w:val="left"/>
        <w:tblInd w:w="0" w:type="dxa"/>
        <w:tblLayout w:type="fixed"/>
        <w:tblCellMar>
          <w:top w:w="28" w:type="dxa"/>
          <w:left w:w="28" w:type="dxa"/>
          <w:bottom w:w="28" w:type="dxa"/>
          <w:right w:w="28" w:type="dxa"/>
        </w:tblCellMar>
      </w:tblPr>
      <w:tblGrid>
        <w:gridCol w:w="1921"/>
        <w:gridCol w:w="146"/>
        <w:gridCol w:w="719"/>
        <w:gridCol w:w="1561"/>
        <w:gridCol w:w="146"/>
        <w:gridCol w:w="146"/>
        <w:gridCol w:w="311"/>
        <w:gridCol w:w="844"/>
        <w:gridCol w:w="146"/>
        <w:gridCol w:w="146"/>
        <w:gridCol w:w="827"/>
        <w:gridCol w:w="1243"/>
        <w:gridCol w:w="146"/>
        <w:gridCol w:w="146"/>
        <w:gridCol w:w="336"/>
        <w:gridCol w:w="909"/>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Amortization expense is recorded within selling, general and administrative expense. Amortization expense for the years ended December 31, 2024 and 2023 was $0.2 million and $0.1 million, respectively.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Future amortization expense of the intangible assets as of December 31, 2024, is expected to be as follows (in thousands):</w:t>
      </w:r>
    </w:p>
    <w:tbl>
      <w:tblPr>
        <w:tblW w:w="3520" w:type="dxa"/>
        <w:jc w:val="left"/>
        <w:tblInd w:w="0" w:type="dxa"/>
        <w:tblLayout w:type="fixed"/>
        <w:tblCellMar>
          <w:top w:w="28" w:type="dxa"/>
          <w:left w:w="28" w:type="dxa"/>
          <w:bottom w:w="28" w:type="dxa"/>
          <w:right w:w="28" w:type="dxa"/>
        </w:tblCellMar>
      </w:tblPr>
      <w:tblGrid>
        <w:gridCol w:w="2401"/>
        <w:gridCol w:w="146"/>
        <w:gridCol w:w="211"/>
        <w:gridCol w:w="571"/>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u w:val="single"/>
              </w:rPr>
            </w:pPr>
            <w:r>
              <w:rPr>
                <w:rFonts w:ascii="Times New Roman" w:hAnsi="Times New Roman"/>
                <w:b/>
                <w:color w:val="000000"/>
                <w:sz w:val="19"/>
                <w:u w:val="single"/>
              </w:rPr>
              <w:t>Year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7. Accrued Expenses and Other Current Liabilities</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tbl>
      <w:tblPr>
        <w:tblW w:w="7840" w:type="dxa"/>
        <w:jc w:val="left"/>
        <w:tblInd w:w="0" w:type="dxa"/>
        <w:tblLayout w:type="fixed"/>
        <w:tblCellMar>
          <w:top w:w="28" w:type="dxa"/>
          <w:left w:w="28" w:type="dxa"/>
          <w:bottom w:w="28" w:type="dxa"/>
          <w:right w:w="28" w:type="dxa"/>
        </w:tblCellMar>
      </w:tblPr>
      <w:tblGrid>
        <w:gridCol w:w="4991"/>
        <w:gridCol w:w="246"/>
        <w:gridCol w:w="246"/>
        <w:gridCol w:w="211"/>
        <w:gridCol w:w="676"/>
        <w:gridCol w:w="146"/>
        <w:gridCol w:w="146"/>
        <w:gridCol w:w="211"/>
        <w:gridCol w:w="676"/>
        <w:gridCol w:w="291"/>
      </w:tblGrid>
      <w:tr>
        <w:trPr/>
        <w:tc>
          <w:tcPr>
            <w:tcW w:w="49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99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Accrued payroll and related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Accrued transportation costs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Accrued research, development and clinical trials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9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Accrued other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Long-Term Debt and Financing Arrangements</w:t>
      </w:r>
    </w:p>
    <w:p>
      <w:pPr>
        <w:pStyle w:val="TextBody"/>
        <w:bidi w:val="0"/>
        <w:spacing w:before="240" w:after="283"/>
        <w:jc w:val="both"/>
        <w:rPr>
          <w:rFonts w:ascii="Times New Roman" w:hAnsi="Times New Roman"/>
          <w:sz w:val="20"/>
        </w:rPr>
      </w:pPr>
      <w:r>
        <w:rPr>
          <w:rFonts w:ascii="Times New Roman" w:hAnsi="Times New Roman"/>
          <w:b/>
          <w:i/>
          <w:color w:val="000000"/>
          <w:sz w:val="20"/>
        </w:rPr>
        <w:t>Convertible Senior Notes</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Convertible senior notes consisted of the following (in thousands):</w:t>
      </w:r>
    </w:p>
    <w:tbl>
      <w:tblPr>
        <w:tblW w:w="8259" w:type="dxa"/>
        <w:jc w:val="left"/>
        <w:tblInd w:w="0" w:type="dxa"/>
        <w:tblLayout w:type="fixed"/>
        <w:tblCellMar>
          <w:top w:w="28" w:type="dxa"/>
          <w:left w:w="28" w:type="dxa"/>
          <w:bottom w:w="28" w:type="dxa"/>
          <w:right w:w="28" w:type="dxa"/>
        </w:tblCellMar>
      </w:tblPr>
      <w:tblGrid>
        <w:gridCol w:w="5126"/>
        <w:gridCol w:w="346"/>
        <w:gridCol w:w="211"/>
        <w:gridCol w:w="781"/>
        <w:gridCol w:w="166"/>
        <w:gridCol w:w="146"/>
        <w:gridCol w:w="211"/>
        <w:gridCol w:w="781"/>
        <w:gridCol w:w="491"/>
      </w:tblGrid>
      <w:tr>
        <w:trPr/>
        <w:tc>
          <w:tcPr>
            <w:tcW w:w="51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Principal amount of convertible senior notes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460,000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Current portion of convertible senior notes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senior notes, net of current portion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460,000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discount, net of accretion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Convertible senior notes, net of discount and current portion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447,140</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2024, the estimated fair value of the Notes was $473.3 million. The fair value was determined based on the quoted price of the last trade of the Notes prior to the end of the reporting period in an inactive market, which is considered as Level 2 in the fair value hierarchy.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May 11, 2023, the Company issued $460.0 million aggregate principal amount of the Notes, in a private placement to qualified institutional buyers pursuant to Rule 144A under the Securities Act, pursuant to an indenture dated May 11, 2023, by and between the Company and U.S. Bank Trust Company, National Association (the “Indenture”).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initial conversion price of the Notes is approximately $94.00 per share of common stock, which represents a premium of approximately 32.5% over the closing price of the Company’s common stock on May 8, 2023. The Notes will mature on June 1, 2028, unless earlier repurchased, redeemed or converted. The Company used $52.1 million of the proceeds from the sale of the Notes to fund the cost of entering into capped call transactions, described below. The proceeds from the issuance of the Notes were approximately $393.3 million, net of capped call transaction costs of $52.1 million and initial purchaser discounts and other debt issuance costs totaling $14.6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Notes bear interest at a rate of 1.50% per year and interest is payable semiannually in arrears on June 1 and December 1 of each year. The initial conversion rate is 10.6388 shares of common stock per $1,000 principal amount of the Notes, which represents an initial conversion price of approximately $94.00 per share of common stock. The conversion rate and conversion price are subject to customary adjustments upon the occurrence of certain events as described in the Indenture.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Before March 1, 2028, noteholders have the right to convert their Notes only upon the occurrence of certain events, including certain corporate events, and during the five business days immediately after any ten consecutive trading days in which the trading price per $1,000 principal amount of Notes is less than ninety-eight percent (98%) of the as converted value. Additionally, the noteholder can convert their Notes during any calendar quarter (and only during such calendar quarter), commencing after the calendar quarter ending on September 30, 2023 but before March 1, 2028, provided the last reported sale price of the common stock for at least 20 trading days is greater than or equal to 130% of the conversion price during the 30 consecutive trading days ending on the last trading day of a calendar quarter. From and after March 1, 2028, noteholders may convert their Notes at any time at their election until the close of business on the second scheduled trading day immediately before the maturity date. The Company has the right to elect to settle conversions either in cash, shares or in a combination of cash and shares of its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Prior to June 8, 2026, the Notes will not be redeemable. On or after June 8, 2026, the Company may redeem for cash all or any portion of the Notes (subject to the partial redemption limitation set forth in the Indenture), at its option,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In addition, calling any Note for redemption will constitute a “Make-Whole Fundamental Change” (as defined in the Indenture) with respect to that Note, in which case the conversion rate applicable to the conversion of that Note will be increased in certain circumstances if it is converted after it is called for redemption.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conditional conversion feature of the Notes was triggered on June 30, 2024 and again on September 30, 2024, as the last reported sale price of the Company's common stock was greater than or equal to 130% of the conversion price of the Notes for at least 20 trading days during the period of 30 consecutive trading days ending on and including the last trading day of each of the quarters ended June 30, 2024 and September 30, 2024, respectively, and the Notes therefore became convertible at the noteholders’ election in the immediately following calendar quarters ended September 30, 2024 and December 31, 2024, respectively. If this condition or another conversion condition is met in the future, the Notes may again become convertible, otherwise the Notes will be convertible at the noteholders’ election from March 1, 2028 through the close of business on the second scheduled trading day immediately before the maturity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accounts for the Notes as a single liability in accordance with ASC Topic 470-20 as the Company concluded that embedded conversion features within the Notes do not meet the requirements for bifurcation. Initial purchaser discounts and other debt issuance costs related to the Notes totaling $14.6 million were recorded by the Company as a debt discount. The debt discount is reflected as a reduction of the carrying value of the Notes on the Company’s consolidated balance sheets and is being accreted to interest expense over the term of the Notes using the effective interest method. During the years ended December 31, 2024 and 2023, the Company recognized $9.7 million and $6.2 million, respectively, in interest expense related to the 1.50% cash coupon of the Notes and amortization of the debt issuance costs. During the years ended December 31, 2024 and 2023, the effective interest rate on the outstanding Notes was approximately 2.1%.</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Capped Call Transactions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offering of the Notes, the Company entered into privately negotiated capped call transactions (the “Capped Calls”) with certain financial institution counterparties (the “Option Counterparties”). The Capped Calls are generally intended to reduce or offset the potential dilution to the common stock upon any conversion of the Notes with such reduction or offset, as the case may be, subject to a cap based on the cap price. For accounting purposes, the Capped Calls are separate transactions, and not part of the terms of the Notes. The Capped Calls are recorded in stockholders’ equity and are not accounted for as derivatives. The cost of $52.1 million incurred to purchase the Capped Calls was recorded as a reduction to common stock on the accompanying consolidated balance sheets.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of the Capped Calls has an initial strike price of approximately $94.00 per share, subject to certain adjustments, which corresponds to the initial conversion price of the Notes. The Capped Calls have an initial cap price of $141.88 per share, subject to certain adjustments. The Capped Calls cover, subject to anti-dilution adjustments, approximately 4,893,848 shares of the Company’s common stock, which is the same number of shares of the Company’s common stock initially underlying the Notes. The Capped Calls are subject to automatic exercise over a 40 trading day period commencing on April 3, 2028, subject to earlier termination under certain circumstances.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Long-term debt</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Long-term debt consisted of the following (in thousands):</w:t>
      </w:r>
    </w:p>
    <w:tbl>
      <w:tblPr>
        <w:tblW w:w="7314" w:type="dxa"/>
        <w:jc w:val="left"/>
        <w:tblInd w:w="0" w:type="dxa"/>
        <w:tblLayout w:type="fixed"/>
        <w:tblCellMar>
          <w:top w:w="28" w:type="dxa"/>
          <w:left w:w="28" w:type="dxa"/>
          <w:bottom w:w="28" w:type="dxa"/>
          <w:right w:w="28" w:type="dxa"/>
        </w:tblCellMar>
      </w:tblPr>
      <w:tblGrid>
        <w:gridCol w:w="4391"/>
        <w:gridCol w:w="346"/>
        <w:gridCol w:w="211"/>
        <w:gridCol w:w="676"/>
        <w:gridCol w:w="166"/>
        <w:gridCol w:w="146"/>
        <w:gridCol w:w="211"/>
        <w:gridCol w:w="676"/>
        <w:gridCol w:w="491"/>
      </w:tblGrid>
      <w:tr>
        <w:trPr/>
        <w:tc>
          <w:tcPr>
            <w:tcW w:w="43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Principal amount of long-term debt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Current portion of long-term debt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 of current portion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discount, net of accretion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 net of discount and current portion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59,064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In July 2022, the Company entered into a credit agreement with Canadian Imperial Bank of Commerce (“CIBC”), as amended by the First Amendment to Credit Agreement, dated as of May 8, 2023, by and among the Company and CIBC (the “First Amendment”), the Second Amendment to Credit Agreement, dated as of June 23, 2023, by and among the Company, and CIBC (the “Second Amendment”), the Third Amendment to Credit Agreement, dated as of November 9, 2023, by and among the Company, and CIBC (the “Third Amendment”) (as amended, the “CIBC Credit Agreement”), pursuant to which the Company borrowed $60.0 million. In connection with the CIBC Credit Agreement, the Company repaid all amounts due under its previously outstanding credit agreement and recorded a loss on extinguishment of debt of $0.6 million during 2022, which amount was classified as other expense in the consolidated statements of operations.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On May 8, 2023, the Company entered into the First Amendment, which among other items, allowed for the issuance of the Notes and capped call transactions. On June 23, 2023, the Company entered into the Second Amendment, which among other items, permits the Company to make acquisitions of equity or assets of another entity, subject to the conditions under the Second Amendment, including acquisitions, without further consent of CIBC, up to a maximum amount of $50.0 million for the cash payable in connection with an individual acquisition and a maximum amount in aggregate of $150.0 million for the total cash consideration payable for all acquisitions made by the Company on or after June 23, 2023. The definition of consolidated adjusted EBITDA was also amended by the Second Amendment to add a provision for the pro forma effect of any acquisitions that occur during the period. Additionally, pursuant to the Second Amendment, the parties agreed to extend the start of the principal repayment period to July 31, 2026, on which date the Company is obligated to begin repayment of the term loans in equal monthly installments until the maturity date in July 2027. On November 9, 2023, the Company entered into the Third Amendment, which, among other items, permits the Company to make acquisitions of equity or assets of another entity, subject to the conditions under the Third Amendment, without further consent of CIBC, for cash consideration in a maximum aggregate amount of $300.0 million for all such acquisitions made by the Company on or after November 9, 2023.</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Borrowings under the CIBC Credit Agreement bear interest at an annual rate equal to either, at the Company’s option, (i) the secured overnight financing rate for an interest period selected by the Company, subject to a minimum of 1.50%, plus 2.0% or (ii) 1.0% plus the higher of a) the prime rate subject to a minimum of 4.0% or b) the Federal Funds Effective Rate, plus 0.5%. At the Company’s option, the Company may prepay borrowings outstanding under the CIBC Credit Agreement, without a prepayment fee.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 connection with entering into the CIBC Credit Agreement, the Company paid upfront fees and other costs of $1.5 million, which were recorded by the Company as a debt discount. The debt discount is reflected as a reduction of the carrying value of long-term debt on the Company’s consolidated balance sheets and is being accreted to interest expense over the term of the CIBC Credit Agreement using the effective interest method.</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All obligations under the CIBC Credit Agreement are guaranteed by the Company and each of its material subsidiaries. All obligations of the Company and each guarantor are secured by substantially all of the Company’s and each guarantor’s assets, including their intellectual property, subject to certain exceptions. Under the CIBC Credit Agreement, the Company has agreed to customary representations and warranties, events of default and certain affirmative and negative covenants to which it will remain subject until maturity. The financial covenants include, among other covenants, (x) a requirement to maintain a minimum liquidity amount of the greater of either (i) the consolidated adjusted EBITDA loss (or gain) for the trailing four month period (only if EBITDA is negative) and (ii) $10.0 million, and (y) a requirement to maintain total net revenue of at least 75% of the level set forth in the total revenue plan presented to CIBC. As discussed above, the definition of consolidated adjusted EBITDA was amended to include the pro forma effect of acquisitions. The obligations under the CIBC Credit Agreement are subject to acceleration upon the occurrence of specified events of default, including payment default, change in control, bankruptcy, insolvency, certain defaults under other material debt, certain events with respect to governmental approvals (if such events could cause a material adverse change in the Company’s business), failure to comply with certain covenants and a material adverse change in the Company’s business, operations or financial condition. As of December 31, 2024, the Company was in compliance with all financial covenants of the CIBC Credit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During the continuance of an event of default, the interest rate per annum will be equal to the rate that would have otherwise been applicable at the time of the event of default plus 2.0%. If an event of default (other than certain events of bankruptcy or insolvency) occurs and is continuing, CIBC may declare all or any portion of the outstanding principal amount of the borrowings plus accrued and unpaid interest to be due and payable. Upon the occurrence of certain events of bankruptcy or insolvency, all of the outstanding principal amount of the borrowings plus accrued and unpaid interest will automatically become due and payable. In addition, the Company may be required to prepay outstanding borrowings, subject to certain exceptions, with portions of net cash proceeds of certain asset sales and certain casualty and condemnation events.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 assessed all terms and features of the CIBC Credit Agreement in order to identify any potential embedded features that would require bifurcation. As part of this analysis, the Company assessed the economic characteristics and risks of the debt. The Company determined that all features of the CIBC Credit Agreement are either clearly and closely associated with a debt host or have a de minimis fair value and, as such, do not require separate accounting as a derivative liability.</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As of December 31, 2024, the stated interest rate applicable to borrowings under the CIBC Credit Agreement was 6.4%. During the years ended December 31, 2024, 2023 and 2022, the Company recognized $4.7 million, $4.6 million and $3.7 million, respectively, in interest expense related to the stated interest rate on outstanding borrowings and amortization of the debt issuance costs. During the years ended December 31, 2024, 2023 and 2022, the weighted average effective interest rate on outstanding borrowings under the CIBC Credit Agreement was approximately 7.7%, 7.7% and 6.6%, respectively.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Equity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2024, the Company’s articles of organization authorized the Company to issue up to 25,000,000 shares of preferred stock, no par value per share, all of which is undesignated. The preferred stock will have such rights, preferences, privileges and restrictions, including voting rights, dividend rights, conversion rights, redemption privileges and liquidation preferences, as shall be determined by the Company’s boards of directors upon issuance.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2024, the Company’s articles of organization authorized the Company to issue up to 150,000,000 shares of common stock, no par value per share. Each share of common stock is entitled to one vote on all matters submitted to a vote of the Company’s stockholders. The holders of common stock are entitled to receive dividends, if any, as may be declared by the board of directors, as described above. Through December 31, 2024, no dividends had been declared or paid.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April 2024, warrants for the purchase of 14,440 shares of common stock at an exercise price of $17.47 per share were exercised in a cashless exercise resulting in the issuance of 11,735 shares of common stock. In November 2022, warrants were exercised to purchase 50,000 shares of common stock at an exercise price of $8.75 per share for total proceeds of $0.4 million. As of December 31, 2024, the Company had no outstanding warrants.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2019 Stock Incentive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2019 Stock Incentive Plan (the “2019 Plan”) provides for the grant of incentive stock options, nonqualified stock options, stock appreciation rights, restricted stock, restricted stock units, unrestricted stock, unrestricted stock units, and other stock-based awards to employees, directors, and consultants of the Company and its subsidiaries. The number of shares of common stock of TransMedics Group initially available for issuance under the 2019 Plan was 3,428,571 shares, plus the number of shares underlying awards under the previously outstanding 2014 Stock Incentive Plan (the “2014 Plan”), not to exceed 1,595,189 shares, that expire or are terminated, surrendered, or cancelled without the delivery of shares, are forfeited to or repurchased by TransMedics Group or otherwise become available again for grant. Since the effectiveness of the Company’s 2019 Plan in April 2019, no awards have been made or will be made under the 2014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Shares withheld in payment of the exercise or purchase price of an award or in satisfaction of tax withholding requirements, and the shares covered by a stock appreciation right for which any portion is settled in stock, will reduce the number of shares available for issuance under the 2019 Plan. In addition, the number of shares available for issuance under the 2019 Plan (i) will not be increased by any shares delivered under the 2019 Plan that are subsequently repurchased using proceeds directly attributable to stock option exercises and (ii) will not be reduced by any awards that are settled in cash or that expire, become unexercisable, terminate or are forfeited to or repurchased by TransMedics Group without the issuance of stock under the 2019 Plan. On May 25, 2023, the shareholders of the Company approved the Amended and Restated TransMedics Group, Inc. 2019 Stock Incentive Plan (the “Amended Plan”) to among other things, (i) increase the number of shares of the Company’s common stock available for issuance thereunder by 1,000,000 shares, (ii) prohibit the payment of dividend or dividend equivalents on a current basis with respect to unvested awards, (iii) extend the expiration date of the Amended Plan until June 1, 2033 and (iv) increase the annual limits on non-employee director compensation. As of December 31, 2024, 897,989 shares of common stock were available for issuance under the Amended Plan. </w:t>
      </w:r>
    </w:p>
    <w:p>
      <w:pPr>
        <w:pStyle w:val="TextBody"/>
        <w:bidi w:val="0"/>
        <w:spacing w:before="240" w:after="283"/>
        <w:jc w:val="both"/>
        <w:rPr>
          <w:rFonts w:ascii="Times New Roman" w:hAnsi="Times New Roman"/>
          <w:sz w:val="20"/>
        </w:rPr>
      </w:pPr>
      <w:r>
        <w:rPr>
          <w:rFonts w:ascii="Times New Roman" w:hAnsi="Times New Roman"/>
          <w:b/>
          <w:i/>
          <w:color w:val="000000"/>
          <w:sz w:val="20"/>
        </w:rPr>
        <w:t>2021 Inducement Plan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August 2021, the Company’s board of directors approved the TransMedics Group, Inc. Inducement Plan (the “Inducement Plan”). Pursuant to the terms of the Inducement Plan, the Company may grant nonqualified stock options, stock appreciation rights, restricted stock, unrestricted stock, restricted stock unit awards and performance awards to individuals who were not previously employees or directors of the Company or individuals returning to employment after a bona fide period of non-employment with the Company. A total of 1,000,000 shares of the Company’s common stock were initially available for issuance under the Inducement Plan. On November 2, 2023, the Company's board of directors approved an increase of 500,000 to shares available under the Inducement Plan. As of December 31, 2024, 536,871 shares of common stock remained available for issuance under the Inducement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Awards granted under the 2019 Plan and Inducement Plan vest over periods determined by the board of directors and expire no longer than ten years from the date of the grant. The exercise price for stock options granted is not less than the fair value of common shares based on quoted market prices. </w:t>
      </w:r>
    </w:p>
    <w:p>
      <w:pPr>
        <w:pStyle w:val="TextBody"/>
        <w:bidi w:val="0"/>
        <w:spacing w:before="240" w:after="283"/>
        <w:jc w:val="both"/>
        <w:rPr>
          <w:rFonts w:ascii="Times New Roman" w:hAnsi="Times New Roman"/>
          <w:sz w:val="20"/>
        </w:rPr>
      </w:pPr>
      <w:r>
        <w:rPr>
          <w:rFonts w:ascii="Times New Roman" w:hAnsi="Times New Roman"/>
          <w:b/>
          <w:i/>
          <w:color w:val="000000"/>
          <w:sz w:val="20"/>
        </w:rPr>
        <w:t>2019 Employee Stock Purchase Plan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Company’s 2019 Employee Stock Purchase Plan (the “2019 ESPP”), certain employees of the Company are eligible to purchase common stock of the Company at a reduced price during offering periods. The 2019 ESPP permits participants to purchase common stock using funds contributed through payroll deductions, subject to the limitations set forth in the Internal Revenue Code, at a purchase price of 85% of the lower of the closing price of the Company’s common stock on the first trading day of the offering period or the closing price on the applicable purchase date, which is the final trading day of the applicable offering period. A total of 371,142 shares of common stock of TransMedics Group were initially reserved for issuance under the 2019 ESPP. During the year ended December 31, 2024, 31,303 shares were issued under the 2019 ESPP and as of December 31, 2024, 233,256 shares remained available for issuance under the 2019 ESPP.</w:t>
      </w:r>
    </w:p>
    <w:p>
      <w:pPr>
        <w:pStyle w:val="TextBody"/>
        <w:bidi w:val="0"/>
        <w:spacing w:before="240" w:after="283"/>
        <w:jc w:val="both"/>
        <w:rPr>
          <w:rFonts w:ascii="Times New Roman" w:hAnsi="Times New Roman"/>
          <w:sz w:val="20"/>
        </w:rPr>
      </w:pPr>
      <w:r>
        <w:rPr>
          <w:rFonts w:ascii="Times New Roman" w:hAnsi="Times New Roman"/>
          <w:b/>
          <w:i/>
          <w:color w:val="000000"/>
          <w:sz w:val="20"/>
        </w:rPr>
        <w:t>Stock Option Valuation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fair value of stock option grants is estimated using the Black-Scholes option-pricing model. Because there had been no public market for the Company's common stock prior to the Company's initial public offering, there is limited Company-specific historical and implied volatility data. Accordingly, the Company bases its estimates of expected volatility on a combination of the Company's own historical volatility and historical volatility of a group of publicly-traded companies with similar characteristics to itself. For options with service-based vesting conditions,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presents, on a weighted average basis, the assumptions used in the Black-Scholes option-pricing model to determine the grant-date fair value of stock options granted to employees and directors: </w:t>
      </w:r>
    </w:p>
    <w:p>
      <w:pPr>
        <w:pStyle w:val="TextBody"/>
        <w:bidi w:val="0"/>
        <w:jc w:val="both"/>
        <w:rPr/>
      </w:pPr>
      <w:r>
        <w:rPr/>
        <w:t> </w:t>
      </w:r>
    </w:p>
    <w:tbl>
      <w:tblPr>
        <w:tblW w:w="5263" w:type="dxa"/>
        <w:jc w:val="left"/>
        <w:tblInd w:w="0" w:type="dxa"/>
        <w:tblLayout w:type="fixed"/>
        <w:tblCellMar>
          <w:top w:w="28" w:type="dxa"/>
          <w:left w:w="28" w:type="dxa"/>
          <w:bottom w:w="28" w:type="dxa"/>
          <w:right w:w="28" w:type="dxa"/>
        </w:tblCellMar>
      </w:tblPr>
      <w:tblGrid>
        <w:gridCol w:w="2131"/>
        <w:gridCol w:w="146"/>
        <w:gridCol w:w="146"/>
        <w:gridCol w:w="466"/>
        <w:gridCol w:w="271"/>
        <w:gridCol w:w="146"/>
        <w:gridCol w:w="146"/>
        <w:gridCol w:w="466"/>
        <w:gridCol w:w="271"/>
        <w:gridCol w:w="146"/>
        <w:gridCol w:w="146"/>
        <w:gridCol w:w="46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following table summarizes the Company’s option activity since December 31, 2023: </w:t>
      </w:r>
    </w:p>
    <w:tbl>
      <w:tblPr>
        <w:tblW w:w="8988" w:type="dxa"/>
        <w:jc w:val="left"/>
        <w:tblInd w:w="0" w:type="dxa"/>
        <w:tblLayout w:type="fixed"/>
        <w:tblCellMar>
          <w:top w:w="28" w:type="dxa"/>
          <w:left w:w="28" w:type="dxa"/>
          <w:bottom w:w="28" w:type="dxa"/>
          <w:right w:w="28" w:type="dxa"/>
        </w:tblCellMar>
      </w:tblPr>
      <w:tblGrid>
        <w:gridCol w:w="3766"/>
        <w:gridCol w:w="146"/>
        <w:gridCol w:w="146"/>
        <w:gridCol w:w="931"/>
        <w:gridCol w:w="166"/>
        <w:gridCol w:w="146"/>
        <w:gridCol w:w="214"/>
        <w:gridCol w:w="582"/>
        <w:gridCol w:w="146"/>
        <w:gridCol w:w="146"/>
        <w:gridCol w:w="236"/>
        <w:gridCol w:w="755"/>
        <w:gridCol w:w="146"/>
        <w:gridCol w:w="146"/>
        <w:gridCol w:w="239"/>
        <w:gridCol w:w="886"/>
        <w:gridCol w:w="1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2,773,556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Vested and expected to vest as of </w:t>
              <w:br/>
              <w: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aggregate intrinsic value of stock options exercised during the years ended December 31, 2024, 2023 and 2022, was $80.1 million, $31.0 million and $15.0 million, respectively. The weighted average grant-date fair value of stock options granted during the years ended December 31, 2024, 2023 and 2022 was $57.12 per share, $41.75 per share and $11.32 per share,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not granted any stock-based awards with performance-based vesting conditions.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Restricted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Shares of unvested restricted common stock may not be sold or transferred by the holder. If the holder’s service to the Company and its affiliates ceases for any reason, unvested shares of restricted common stock held by these individuals will immediately be forfeited for no consideration, as provided in the individual restricted stock agreements.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summarizes the Company's restricted common stock activity since December 31, 2023:</w:t>
      </w:r>
    </w:p>
    <w:tbl>
      <w:tblPr>
        <w:tblW w:w="9642" w:type="dxa"/>
        <w:jc w:val="left"/>
        <w:tblInd w:w="0" w:type="dxa"/>
        <w:tblLayout w:type="fixed"/>
        <w:tblCellMar>
          <w:top w:w="28" w:type="dxa"/>
          <w:left w:w="28" w:type="dxa"/>
          <w:bottom w:w="28" w:type="dxa"/>
          <w:right w:w="28" w:type="dxa"/>
        </w:tblCellMar>
      </w:tblPr>
      <w:tblGrid>
        <w:gridCol w:w="4951"/>
        <w:gridCol w:w="146"/>
        <w:gridCol w:w="146"/>
        <w:gridCol w:w="631"/>
        <w:gridCol w:w="166"/>
        <w:gridCol w:w="146"/>
        <w:gridCol w:w="753"/>
        <w:gridCol w:w="2412"/>
        <w:gridCol w:w="291"/>
      </w:tblGrid>
      <w:tr>
        <w:trPr/>
        <w:tc>
          <w:tcPr>
            <w:tcW w:w="4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common stock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common stock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aggregate fair value of restricted stock that vested during the years ended December 31, 2024 and 2023 was $1.4 million and $1.7 million, respectively. There was no restricted stock vesting during the year ended December 31, 2022. The Company granted restricted common stock during the years ended December 31, 2024, 2023 and 2022 with a weighted average grant-date fair value of $156.00, $72.75 and $28.74 per share,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Restricted Common Stock Units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summarizes the Company's restricted common stock unit activity since December 31, 2023:</w:t>
      </w:r>
    </w:p>
    <w:tbl>
      <w:tblPr>
        <w:tblW w:w="9552" w:type="dxa"/>
        <w:jc w:val="left"/>
        <w:tblInd w:w="0" w:type="dxa"/>
        <w:tblLayout w:type="fixed"/>
        <w:tblCellMar>
          <w:top w:w="28" w:type="dxa"/>
          <w:left w:w="28" w:type="dxa"/>
          <w:bottom w:w="28" w:type="dxa"/>
          <w:right w:w="28" w:type="dxa"/>
        </w:tblCellMar>
      </w:tblPr>
      <w:tblGrid>
        <w:gridCol w:w="4651"/>
        <w:gridCol w:w="146"/>
        <w:gridCol w:w="146"/>
        <w:gridCol w:w="841"/>
        <w:gridCol w:w="166"/>
        <w:gridCol w:w="146"/>
        <w:gridCol w:w="851"/>
        <w:gridCol w:w="2314"/>
        <w:gridCol w:w="2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aggregate fair value of restricted stock units that vested during the year ended December 31, 2024 was $11.3 million. There was no restricted stock units vesting during the years ended December 31, 2023 and 2022. The Company granted restricted common stock units during the years ended December 31, 2024 and 2023 with a weighted average grant-date fair value of $89.60 and $63.74 per share, respectively. The Company did not grant restricted common stock units during the year ended December 31, 2022.</w:t>
      </w:r>
    </w:p>
    <w:p>
      <w:pPr>
        <w:pStyle w:val="TextBody"/>
        <w:bidi w:val="0"/>
        <w:spacing w:before="240" w:after="283"/>
        <w:jc w:val="both"/>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Company recorded stock-based compensation expense in the following expense categories of its consolidated statements of operations (in thousands): </w:t>
      </w:r>
    </w:p>
    <w:tbl>
      <w:tblPr>
        <w:tblW w:w="7418" w:type="dxa"/>
        <w:jc w:val="left"/>
        <w:tblInd w:w="0" w:type="dxa"/>
        <w:tblLayout w:type="fixed"/>
        <w:tblCellMar>
          <w:top w:w="28" w:type="dxa"/>
          <w:left w:w="28" w:type="dxa"/>
          <w:bottom w:w="28" w:type="dxa"/>
          <w:right w:w="28" w:type="dxa"/>
        </w:tblCellMar>
      </w:tblPr>
      <w:tblGrid>
        <w:gridCol w:w="3736"/>
        <w:gridCol w:w="146"/>
        <w:gridCol w:w="211"/>
        <w:gridCol w:w="676"/>
        <w:gridCol w:w="146"/>
        <w:gridCol w:w="146"/>
        <w:gridCol w:w="211"/>
        <w:gridCol w:w="676"/>
        <w:gridCol w:w="146"/>
        <w:gridCol w:w="146"/>
        <w:gridCol w:w="211"/>
        <w:gridCol w:w="676"/>
        <w:gridCol w:w="2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development and clinical trials</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2024, total unrecognized compensation cost related to unvested share-based awards was $54.6 million, which is expected to be recognized over a weighted-average period of 2.1 years.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Income (Loss) Before Income Taxes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domestic and foreign components of income (loss) before income taxes were as follows (in thousands): </w:t>
      </w:r>
    </w:p>
    <w:tbl>
      <w:tblPr>
        <w:tblW w:w="4943" w:type="dxa"/>
        <w:jc w:val="left"/>
        <w:tblInd w:w="0" w:type="dxa"/>
        <w:tblLayout w:type="fixed"/>
        <w:tblCellMar>
          <w:top w:w="28" w:type="dxa"/>
          <w:left w:w="28" w:type="dxa"/>
          <w:bottom w:w="28" w:type="dxa"/>
          <w:right w:w="28" w:type="dxa"/>
        </w:tblCellMar>
      </w:tblPr>
      <w:tblGrid>
        <w:gridCol w:w="1201"/>
        <w:gridCol w:w="146"/>
        <w:gridCol w:w="211"/>
        <w:gridCol w:w="676"/>
        <w:gridCol w:w="146"/>
        <w:gridCol w:w="146"/>
        <w:gridCol w:w="211"/>
        <w:gridCol w:w="736"/>
        <w:gridCol w:w="166"/>
        <w:gridCol w:w="146"/>
        <w:gridCol w:w="211"/>
        <w:gridCol w:w="736"/>
        <w:gridCol w:w="21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Tax Provision Components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components of income taxes were as follows (in thousands):</w:t>
      </w:r>
    </w:p>
    <w:tbl>
      <w:tblPr>
        <w:tblW w:w="6428" w:type="dxa"/>
        <w:jc w:val="left"/>
        <w:tblInd w:w="0" w:type="dxa"/>
        <w:tblLayout w:type="fixed"/>
        <w:tblCellMar>
          <w:top w:w="28" w:type="dxa"/>
          <w:left w:w="28" w:type="dxa"/>
          <w:bottom w:w="28" w:type="dxa"/>
          <w:right w:w="28" w:type="dxa"/>
        </w:tblCellMar>
      </w:tblPr>
      <w:tblGrid>
        <w:gridCol w:w="3256"/>
        <w:gridCol w:w="146"/>
        <w:gridCol w:w="211"/>
        <w:gridCol w:w="421"/>
        <w:gridCol w:w="146"/>
        <w:gridCol w:w="146"/>
        <w:gridCol w:w="211"/>
        <w:gridCol w:w="631"/>
        <w:gridCol w:w="166"/>
        <w:gridCol w:w="146"/>
        <w:gridCol w:w="211"/>
        <w:gridCol w:w="346"/>
        <w:gridCol w:w="3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recorded a deferred tax benefit of $1.7 million for the release of a portion of its valuation allowance related to the net deferred tax liabilities recorded in purchase accounting during the year ended December 31, 2023. As part of the allocation of the purchase price of Summit, the Company recorded deferred tax liabilities for the differences between the fair value recognized in purchase accounting and the tax basis of property, plant and equipment and intangible assets. The net deferred tax liability is a source of income to support the recognition of a portion of its existing deferred tax assets. Therefore, the Company released the same amount of its valuation allowance. The Company maintains a valuation allowance on its overall net deferred tax asset as it deems it more likely than not that the net deferred tax asset will not be realized.</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A reconciliation of the U.S. federal statutory income tax rate to the Company’s effective income tax rate is as follows: </w:t>
      </w:r>
    </w:p>
    <w:tbl>
      <w:tblPr>
        <w:tblW w:w="8018" w:type="dxa"/>
        <w:jc w:val="left"/>
        <w:tblInd w:w="0" w:type="dxa"/>
        <w:tblLayout w:type="fixed"/>
        <w:tblCellMar>
          <w:top w:w="28" w:type="dxa"/>
          <w:left w:w="28" w:type="dxa"/>
          <w:bottom w:w="28" w:type="dxa"/>
          <w:right w:w="28" w:type="dxa"/>
        </w:tblCellMar>
      </w:tblPr>
      <w:tblGrid>
        <w:gridCol w:w="4326"/>
        <w:gridCol w:w="146"/>
        <w:gridCol w:w="146"/>
        <w:gridCol w:w="526"/>
        <w:gridCol w:w="331"/>
        <w:gridCol w:w="146"/>
        <w:gridCol w:w="146"/>
        <w:gridCol w:w="526"/>
        <w:gridCol w:w="331"/>
        <w:gridCol w:w="146"/>
        <w:gridCol w:w="146"/>
        <w:gridCol w:w="526"/>
        <w:gridCol w:w="576"/>
      </w:tblGrid>
      <w:tr>
        <w:trPr/>
        <w:tc>
          <w:tcPr>
            <w:tcW w:w="4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statutory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 taxes,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 and state research and development tax</w:t>
              <w:br/>
              <w:t>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 deferred tax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tax effect of change in state blended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Return to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deferred tax asset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Net deferred tax assets consisted of the following (in thousands): </w:t>
      </w:r>
    </w:p>
    <w:tbl>
      <w:tblPr>
        <w:tblW w:w="8054" w:type="dxa"/>
        <w:jc w:val="left"/>
        <w:tblInd w:w="0" w:type="dxa"/>
        <w:tblLayout w:type="fixed"/>
        <w:tblCellMar>
          <w:top w:w="28" w:type="dxa"/>
          <w:left w:w="28" w:type="dxa"/>
          <w:bottom w:w="28" w:type="dxa"/>
          <w:right w:w="28" w:type="dxa"/>
        </w:tblCellMar>
      </w:tblPr>
      <w:tblGrid>
        <w:gridCol w:w="4881"/>
        <w:gridCol w:w="146"/>
        <w:gridCol w:w="211"/>
        <w:gridCol w:w="841"/>
        <w:gridCol w:w="166"/>
        <w:gridCol w:w="146"/>
        <w:gridCol w:w="211"/>
        <w:gridCol w:w="841"/>
        <w:gridCol w:w="611"/>
      </w:tblGrid>
      <w:tr>
        <w:trPr/>
        <w:tc>
          <w:tcPr>
            <w:tcW w:w="4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Acquired in-process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tax credit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Section 163(j)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(140,986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2024, the Company had federal net operating loss carryforwards of $404.1 million, which may be available to offset future taxable income, of which $204.6 million of the total net operating loss carryforwards expire at various dates between 2025 and 2037, while the remaining $199.5 million do not expire but are limited in their usage to an annual deduction equal to 80% of annual taxable income. As of December 31, 2024, the Company had state net operating loss carryforwards of $349.6 million, which may be available to offset future taxable income and expire at various dates between 2030 and 2044. As of December 31, 2024, the Company also had U.S. federal and state research and development tax credit carryforwards of $13.2 million and $8.3 million, respectively, which may be available to offset future tax liabilities and expire at various dates between 2025 and 2044. As of December 31, 2024, the Company had no foreign net operating loss carryforwards.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Utilization of the U.S. federal and state net operating loss carryforwards and research and development tax credit carryforwards may be subject to a substantial annual limitation under Sections 382 and 383 of the Internal Revenue Code of 1986,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by the Company and any limitation is known, no amounts are being presented as an uncertain tax position.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required by ASC 740, management of the Company has evaluated the positive and negative evidence bearing upon the realizability of its deferred tax assets, which are comprised principally of net operating loss carryforwards. Management has determined that it is more likely than not that the Company will not recognize the benefits of federal and state deferred tax assets and, as a result, a valuation allowance has been recorded.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2024 and 2023, the Company had no accrued interest or penalties related to uncertain tax positions and no amounts had been recognized in the Company’s consolidated statements of operations. The Company's policy is to record any interest or penalties related to income taxes as part of the income tax provision.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generated research credits for the tax years ending after December 31, 2001 but has not conducted a study to document qualified activities. This study may result in an adjustment to the Company's research and development carryforwards; however, until a study is completed and any adjustment is known, no amounts are being presented as an unrecognized tax benefit for the year ended December 31, 2024. A full valuation allowance has been provided against the Company's research and development credits and, if an adjustment is required, this adjustment would be offset by an adjustment to the deferred tax asset established for the research credit carryforward and the valuation allowance.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files income tax returns as prescribed by the tax laws of the jurisdictions in which it operates. In the normal course of business, the Company is subject to examination by federal and state jurisdictions, where applicable. There are currently no pending federal or state tax examinations. The Company has open tax years subject to examination from fiscal year 2021 to present. To the extent that the Company has carryforward attributes, the tax years in which the attribute was generated may still be adjusted upon examination by federal, state or local tax authorities if they either have been or will be used in the future.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Changes in the valuation allowance for deferred tax assets during the year ended December 31, 2024 related primarily to current year federal and state net operating losses generated, capitalized research and development costs, and federal and state research and development tax credits generated, partially offset by an increase in deferred tax liabilities related to depreciation expense. Changes in the valuation allowance for deferred tax assets during the year ended December 31, 2023 related primarily to current year federal and state net operating losses generated, acquired IPR&amp;D and capitalized research and development costs. Changes in the valuation allowance for deferred tax assets during the year ended December 31, 2022 related primarily to the capitalization of research and development costs required under Section 174 and current year federal and state net operating losses generated, partially offset by a decrease in deferred tax assets related to state net operating loss carryforwards due to a change in the state effective tax rate. The changes in the valuation allowance were as follows (in thousands): </w:t>
      </w:r>
    </w:p>
    <w:tbl>
      <w:tblPr>
        <w:tblW w:w="9008" w:type="dxa"/>
        <w:jc w:val="left"/>
        <w:tblInd w:w="0" w:type="dxa"/>
        <w:tblLayout w:type="fixed"/>
        <w:tblCellMar>
          <w:top w:w="28" w:type="dxa"/>
          <w:left w:w="28" w:type="dxa"/>
          <w:bottom w:w="28" w:type="dxa"/>
          <w:right w:w="28" w:type="dxa"/>
        </w:tblCellMar>
      </w:tblPr>
      <w:tblGrid>
        <w:gridCol w:w="4671"/>
        <w:gridCol w:w="146"/>
        <w:gridCol w:w="211"/>
        <w:gridCol w:w="841"/>
        <w:gridCol w:w="166"/>
        <w:gridCol w:w="146"/>
        <w:gridCol w:w="211"/>
        <w:gridCol w:w="841"/>
        <w:gridCol w:w="166"/>
        <w:gridCol w:w="146"/>
        <w:gridCol w:w="211"/>
        <w:gridCol w:w="841"/>
        <w:gridCol w:w="411"/>
      </w:tblGrid>
      <w:tr>
        <w:trPr/>
        <w:tc>
          <w:tcPr>
            <w:tcW w:w="4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 as of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Decreases recorded as benefit to 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Increases recorded to 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 as of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(121,891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leases its office, laboratory and manufacturing space under two noncancelable leases that expire in December 2027 and include a lease incentive, fixed payment escalations, and rent holidays. The leases include an option to renew for an additional five years. The option to extend the lease term was not included in the right-of-use asset and the lease liability as it was not reasonably certain of being exercised. The Company classified the leases as operating leases under ASC 842. Annual base rent increases at an average rate of 2.5% each year until the end of the term. The Company is also obligated to pay the landlord certain costs, taxes, and operating expenses, subject to certain exclusions. As these costs are generally variable in nature, they are not included in the measurement of the right-of-use asset and related lease liability. In June 2023, the Company amended one of its lease agreements to add space through the remainder of the lease term and under the existing terms of the lease.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acquisition of Summit, the Company acquired a 20-year operating lease with one 10-year renewal option, for space at the Bozeman Yellowstone International Airport in Bozeman, Montana where the Company constructed a commercial aircraft hangar (see Note 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2024, the Company entered into a lease for office and hangar space in Dallas, Texas that expires June 30, 2027, subject to certain early termination provisions. Fixed monthly payments total $1.7 million over the three-year term of the lease. The Company is also obligated to pay the landlord certain variable costs. The Company recorded a right-of-use asset and related lease liability of $1.5 million in the third quarter of 2024, upon commencement of the lease.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also leases office space for its NOP and hangar space for its aircraft at various locations in the United States under short-term leases.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components of the Company’s lease expense under ASC 842 are as follows (in thousands):</w:t>
      </w:r>
    </w:p>
    <w:tbl>
      <w:tblPr>
        <w:tblW w:w="5068" w:type="dxa"/>
        <w:jc w:val="left"/>
        <w:tblInd w:w="0" w:type="dxa"/>
        <w:tblLayout w:type="fixed"/>
        <w:tblCellMar>
          <w:top w:w="28" w:type="dxa"/>
          <w:left w:w="28" w:type="dxa"/>
          <w:bottom w:w="28" w:type="dxa"/>
          <w:right w:w="28" w:type="dxa"/>
        </w:tblCellMar>
      </w:tblPr>
      <w:tblGrid>
        <w:gridCol w:w="1801"/>
        <w:gridCol w:w="146"/>
        <w:gridCol w:w="211"/>
        <w:gridCol w:w="571"/>
        <w:gridCol w:w="146"/>
        <w:gridCol w:w="146"/>
        <w:gridCol w:w="211"/>
        <w:gridCol w:w="571"/>
        <w:gridCol w:w="146"/>
        <w:gridCol w:w="146"/>
        <w:gridCol w:w="211"/>
        <w:gridCol w:w="571"/>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Supplemental disclosure of cash flow information related to the leases were as follows (in thousands):</w:t>
      </w:r>
    </w:p>
    <w:p>
      <w:pPr>
        <w:pStyle w:val="TextBody"/>
        <w:bidi w:val="0"/>
        <w:jc w:val="both"/>
        <w:rPr/>
      </w:pPr>
      <w:r>
        <w:rPr/>
        <w:t> </w:t>
      </w:r>
    </w:p>
    <w:tbl>
      <w:tblPr>
        <w:tblW w:w="7843" w:type="dxa"/>
        <w:jc w:val="left"/>
        <w:tblInd w:w="0" w:type="dxa"/>
        <w:tblLayout w:type="fixed"/>
        <w:tblCellMar>
          <w:top w:w="28" w:type="dxa"/>
          <w:left w:w="28" w:type="dxa"/>
          <w:bottom w:w="28" w:type="dxa"/>
          <w:right w:w="28" w:type="dxa"/>
        </w:tblCellMar>
      </w:tblPr>
      <w:tblGrid>
        <w:gridCol w:w="4576"/>
        <w:gridCol w:w="146"/>
        <w:gridCol w:w="211"/>
        <w:gridCol w:w="571"/>
        <w:gridCol w:w="146"/>
        <w:gridCol w:w="146"/>
        <w:gridCol w:w="211"/>
        <w:gridCol w:w="571"/>
        <w:gridCol w:w="146"/>
        <w:gridCol w:w="146"/>
        <w:gridCol w:w="211"/>
        <w:gridCol w:w="571"/>
        <w:gridCol w:w="1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Cash paid for amounts included in the measurement of </w:t>
              <w:br/>
              <w: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weighted-average remaining lease term as of December 31, 2024 and 2023 was 3.7 years and 4.7 years, respectively. The weighted-average discount rate as of December 31, 2024 and 2023 was 6.9%. Because the interest rate implicit in the leases was not readily determinable, the Company’s estimated incremental borrowing rate was used to calculate the present value of the leases. In determining its incremental borrowing rate, the Company considered its credit quality and assessed interest rates available in the market for similar borrowings, adjusted for the impact of collateral over the term of the leases.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Future payments for the Company’s operating lease liabilities as of December 31, 2024 are as follows (in thousands): </w:t>
      </w:r>
    </w:p>
    <w:tbl>
      <w:tblPr>
        <w:tblW w:w="4925" w:type="dxa"/>
        <w:jc w:val="left"/>
        <w:tblInd w:w="0" w:type="dxa"/>
        <w:tblLayout w:type="fixed"/>
        <w:tblCellMar>
          <w:top w:w="28" w:type="dxa"/>
          <w:left w:w="28" w:type="dxa"/>
          <w:bottom w:w="28" w:type="dxa"/>
          <w:right w:w="28" w:type="dxa"/>
        </w:tblCellMar>
      </w:tblPr>
      <w:tblGrid>
        <w:gridCol w:w="3581"/>
        <w:gridCol w:w="146"/>
        <w:gridCol w:w="211"/>
        <w:gridCol w:w="676"/>
        <w:gridCol w:w="311"/>
      </w:tblGrid>
      <w:tr>
        <w:trPr/>
        <w:tc>
          <w:tcPr>
            <w:tcW w:w="3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Year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represents operating lease liabilities on the consolidated balance sheets (in thousands):</w:t>
      </w:r>
    </w:p>
    <w:tbl>
      <w:tblPr>
        <w:tblW w:w="6058" w:type="dxa"/>
        <w:jc w:val="left"/>
        <w:tblInd w:w="0" w:type="dxa"/>
        <w:tblLayout w:type="fixed"/>
        <w:tblCellMar>
          <w:top w:w="28" w:type="dxa"/>
          <w:left w:w="28" w:type="dxa"/>
          <w:bottom w:w="28" w:type="dxa"/>
          <w:right w:w="28" w:type="dxa"/>
        </w:tblCellMar>
      </w:tblPr>
      <w:tblGrid>
        <w:gridCol w:w="4121"/>
        <w:gridCol w:w="146"/>
        <w:gridCol w:w="403"/>
        <w:gridCol w:w="1097"/>
        <w:gridCol w:w="291"/>
      </w:tblGrid>
      <w:tr>
        <w:trPr/>
        <w:tc>
          <w:tcPr>
            <w:tcW w:w="4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13.</w:t>
      </w:r>
    </w:p>
    <w:p>
      <w:pPr>
        <w:pStyle w:val="TextBody"/>
        <w:bidi w:val="0"/>
        <w:jc w:val="both"/>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240" w:after="283"/>
        <w:jc w:val="left"/>
        <w:rPr>
          <w:rFonts w:ascii="Times New Roman" w:hAnsi="Times New Roman"/>
          <w:sz w:val="20"/>
        </w:rPr>
      </w:pPr>
      <w:r>
        <w:rPr>
          <w:rFonts w:ascii="Times New Roman" w:hAnsi="Times New Roman"/>
          <w:b/>
          <w:i/>
          <w:color w:val="000000"/>
          <w:sz w:val="20"/>
        </w:rPr>
        <w:t>401(k) Savings Plan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a defined-contribution savings plan under Section 401(k) of the Internal Revenue Code. This plan covers substantially all employees who meet minimum age and service requirements and allows participants to defer a portion of their annual compensation on a pre-tax basis. Effective January 1, 2023, the Company instituted an employer matching program for the 401(k) plan pursuant to which the Company will match 100% of the first 3% of each participating employee’s eligible compensation contributed to the plan and 50% of up to an additional 2% each participating employee’s eligible compensation contributed to the plan. For the years ended December 31, 2024 and 2023, the Company recorded expense of $3.3 million and $1.4 million, respectively, related to these matching contributions. Prior to 2023, the Company had not made any contributions to the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Indemnification Agreements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ordinary course of business, the Company may provide indemnification of varying scope and terms to customers, vendors, lessors, business partners, and other parties with respect to certain matters including, but not limited to, losses arising out of breach of such agreements, negligence or willful misconduct,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services as directors or officers.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maximum potential amount of future payments the Company could be required to make under these indemnification agreements is, in many cases, unlimited. To date, the Company has not incurred any material costs as a result of such indemnifications. The Company is not currently aware of any indemnification claims and had not accrued any liabilities related to such obligations in its consolidated financial statements as of December 31, 2024 and 2023.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Unconditional Purchase Commitment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January 2021, the Company entered into an unconditional $9.5 million purchase commitment, in the ordinary course of business, for goods with specified annual minimum quantities to be purchased through December 2029. The contract is not cancellable without penalty. The remaining purchase commitment as of December 31, 2024 was $5.0 million.</w:t>
      </w:r>
    </w:p>
    <w:p>
      <w:pPr>
        <w:pStyle w:val="TextBody"/>
        <w:bidi w:val="0"/>
        <w:spacing w:before="240" w:after="283"/>
        <w:jc w:val="both"/>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February 14, 2025, a class action captioned Merly Jewik v. TransMedics Group, Inc., et al., Case No. 1:25-cv-10385, was filed against the Company in the United States District Court for the District of Massachusetts. The complaint purports to assert claims against the Company and certain of its current and former officers pursuant to Sections 10(b) and 20(a) of the Securities Exchange Act of 1934, as amended, and Rule 10b-5 promulgated thereunder, on behalf of a putative class of investors who purchased or otherwise acquired the Company’s shares between February 28, 2023 and January 10, 2025 (the “class period”). Plaintiff seeks to recover damages allegedly caused by purported misstatements and omissions contained in certain risk disclosures set forth in the Company’s 2022 and 2023 Annual Reports. The complaint alleges the disclosures at issue were false or misleading, because they failed to describe what plaintiff alleges were coercive business and marketing tactics, anticompetitive conduct and fraudulent billing activities on the part of the Company. The complaint claims these alleged statements and omissions operated to artificially inflate the price paid for the Company's common stock during the class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each reporting date, the Company evaluates whether or not a potential loss amount or a potential range of loss is probable and reasonably estimable under the provisions of the authoritative guidance that addresses accounting for contingencies. At this time, the Company is unable to predict the outcome of the class action litigation or reasonably estimate a range of possible losses. The Company expenses as incurred the costs related to such legal proceedings.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14. Revenue and Segment Information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Disaggregated Revenue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Company disaggregates revenue from contracts with customers related to OCS transplant by organ type and geographical area as it believes this presentation best depicts how the nature, amount, timing and uncertainty of the Company’s revenue and cash flows are affected by economic factors, as shown below (in thousands): </w:t>
      </w:r>
    </w:p>
    <w:tbl>
      <w:tblPr>
        <w:tblW w:w="7263" w:type="dxa"/>
        <w:jc w:val="left"/>
        <w:tblInd w:w="0" w:type="dxa"/>
        <w:tblLayout w:type="fixed"/>
        <w:tblCellMar>
          <w:top w:w="28" w:type="dxa"/>
          <w:left w:w="28" w:type="dxa"/>
          <w:bottom w:w="28" w:type="dxa"/>
          <w:right w:w="28" w:type="dxa"/>
        </w:tblCellMar>
      </w:tblPr>
      <w:tblGrid>
        <w:gridCol w:w="2971"/>
        <w:gridCol w:w="246"/>
        <w:gridCol w:w="211"/>
        <w:gridCol w:w="781"/>
        <w:gridCol w:w="146"/>
        <w:gridCol w:w="146"/>
        <w:gridCol w:w="211"/>
        <w:gridCol w:w="781"/>
        <w:gridCol w:w="146"/>
        <w:gridCol w:w="146"/>
        <w:gridCol w:w="211"/>
        <w:gridCol w:w="676"/>
        <w:gridCol w:w="591"/>
      </w:tblGrid>
      <w:tr>
        <w:trPr/>
        <w:tc>
          <w:tcPr>
            <w:tcW w:w="29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OCS transplant revenue by country</w:t>
              <w:br/>
              <w:t>  by organ(1)(2):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United States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Lung total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Heart total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Liver total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United States OCS</w:t>
              <w:br/>
              <w:t>  transplant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421,880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84,038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All other countries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Lung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Heart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Liver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all other countries OCS</w:t>
              <w:br/>
              <w:t>  transplant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OCS transplant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Revenue by country is categorized based on the location of the end customer. Total OCS transplant revenue includes product and service revenue.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Service revenue unrelated to OCS transplant, which was $4.4 million and $4.9 million for the years ended December 31, 2024 and 2023, is not included in this table.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Payments to Customers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 connection with its clinical trials, the Company makes payments to customers for reimbursement of clinical trial materials and customer’s costs incurred to execute specific clinical trial protocols related to the Company’s OCS products, which are recorded as a reduction of revenue. The Company records the reduction of revenue in the same period as the revenue is recognized and records a corresponding accrual for its estimate of the payments. The Company updates its clinical trial accrual estimates as information related to clinical trial payments is received with a corresponding adjustment to revenue. The reconciliation of gross product revenue to net product revenue for these certain payments is shown below (in thousands):</w:t>
      </w:r>
    </w:p>
    <w:tbl>
      <w:tblPr>
        <w:tblW w:w="7708" w:type="dxa"/>
        <w:jc w:val="left"/>
        <w:tblInd w:w="0" w:type="dxa"/>
        <w:tblLayout w:type="fixed"/>
        <w:tblCellMar>
          <w:top w:w="28" w:type="dxa"/>
          <w:left w:w="28" w:type="dxa"/>
          <w:bottom w:w="28" w:type="dxa"/>
          <w:right w:w="28" w:type="dxa"/>
        </w:tblCellMar>
      </w:tblPr>
      <w:tblGrid>
        <w:gridCol w:w="3856"/>
        <w:gridCol w:w="146"/>
        <w:gridCol w:w="211"/>
        <w:gridCol w:w="781"/>
        <w:gridCol w:w="166"/>
        <w:gridCol w:w="146"/>
        <w:gridCol w:w="211"/>
        <w:gridCol w:w="781"/>
        <w:gridCol w:w="166"/>
        <w:gridCol w:w="146"/>
        <w:gridCol w:w="211"/>
        <w:gridCol w:w="676"/>
        <w:gridCol w:w="21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product revenue from sales to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clinical trial payment estimates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79,234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also makes payments to customers to obtain information related to post-approval studies or existing standard-of-care protocols unrelated to the Company's OCS products and records such payments as operating expenses. For the years ended December 31, 2024, 2023 and 2022, the Company recorded $6.0 million, $2.4 million and $1.9 million, respectively, of operating expense related to these costs.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manages its operations as a single segment for the purposes of assessing performance and making operating decisions. Operating segments are defined as components of an enterprise for which separate financial information is regularly evaluated by the Company’s chief operating decision maker, or decision-making group (the “CODM”), in deciding how to allocate resources and assess performance. The CODM of the Company is the Chief Executive Officer. The CODM assesses performance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and allocates resources based on the Company’s consolidated statements of operations and the Company’s operations are managed on a consolidated basis to decide where to allocate and invest additional resources within the business to continue growth. The CODM also utilizes the consolidated balance sheet for resource allocation and segment asset information is not provided to the CODM to allocate resources.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As a single reportable segment entity, the Company’s segment performance measure is net income (loss). Significant segment expenses, as provided to the CODM, are presented below (in thousands):</w:t>
      </w:r>
    </w:p>
    <w:tbl>
      <w:tblPr>
        <w:tblW w:w="8473" w:type="dxa"/>
        <w:jc w:val="left"/>
        <w:tblInd w:w="0" w:type="dxa"/>
        <w:tblLayout w:type="fixed"/>
        <w:tblCellMar>
          <w:top w:w="28" w:type="dxa"/>
          <w:left w:w="28" w:type="dxa"/>
          <w:bottom w:w="28" w:type="dxa"/>
          <w:right w:w="28" w:type="dxa"/>
        </w:tblCellMar>
      </w:tblPr>
      <w:tblGrid>
        <w:gridCol w:w="4101"/>
        <w:gridCol w:w="246"/>
        <w:gridCol w:w="211"/>
        <w:gridCol w:w="781"/>
        <w:gridCol w:w="146"/>
        <w:gridCol w:w="146"/>
        <w:gridCol w:w="211"/>
        <w:gridCol w:w="781"/>
        <w:gridCol w:w="166"/>
        <w:gridCol w:w="146"/>
        <w:gridCol w:w="211"/>
        <w:gridCol w:w="736"/>
        <w:gridCol w:w="591"/>
      </w:tblGrid>
      <w:tr>
        <w:trPr/>
        <w:tc>
          <w:tcPr>
            <w:tcW w:w="41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93,459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net product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service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development and clinical trials: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 xml:space="preserve">Personnel related (including stock-based </w:t>
              <w:br/>
              <w:t>   compensation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Laboratory supplies and research materials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Consulting and third-party services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Clinical trials costs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Facility related and other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Acquired in-process research and development</w:t>
              <w:br/>
              <w:t>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 xml:space="preserve">Personnel related (including stock-based </w:t>
              <w:br/>
              <w:t>   compensation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Professional and consultant fees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NOP support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Tradeshows and conferences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Facility related and other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segment items(1)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(1) Other segment items include interest income, interest expense, foreign currency exchange gains and losses and income taxes. See the consolidated financial statements for other financial information regarding the Company’s operating segment.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15. Net Income (Loss) per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Basic net income (loss) per common share is computed by dividing the net income (loss) by the weighted average number of shares of common stock outstanding for the period. Diluted net income (loss) per common share is computed by dividing net income (loss) by the weighted average number of shares of common stock outstanding for the period, including potential dilutive common shares assuming the dilutive effect of outstanding stock awards, using the treasury stock method, and outstanding convertible notes, using the if-converted method.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A reconciliation of the numerators and the denominators of the basic and dilutive net income (loss) per common share computations are as follows (in thousands, except share and per share amounts): </w:t>
      </w:r>
    </w:p>
    <w:tbl>
      <w:tblPr>
        <w:tblW w:w="8573" w:type="dxa"/>
        <w:jc w:val="left"/>
        <w:tblInd w:w="0" w:type="dxa"/>
        <w:tblLayout w:type="fixed"/>
        <w:tblCellMar>
          <w:top w:w="28" w:type="dxa"/>
          <w:left w:w="28" w:type="dxa"/>
          <w:bottom w:w="28" w:type="dxa"/>
          <w:right w:w="28" w:type="dxa"/>
        </w:tblCellMar>
      </w:tblPr>
      <w:tblGrid>
        <w:gridCol w:w="3671"/>
        <w:gridCol w:w="146"/>
        <w:gridCol w:w="211"/>
        <w:gridCol w:w="1036"/>
        <w:gridCol w:w="146"/>
        <w:gridCol w:w="146"/>
        <w:gridCol w:w="211"/>
        <w:gridCol w:w="1036"/>
        <w:gridCol w:w="166"/>
        <w:gridCol w:w="146"/>
        <w:gridCol w:w="211"/>
        <w:gridCol w:w="1036"/>
        <w:gridCol w:w="411"/>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Weighted average basic common shares</w:t>
              <w:br/>
              <w:t>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33,229,953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32,517,372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29,556,633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Weighted average dilutive common shares</w:t>
              <w:br/>
              <w:t>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35,216,837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32,517,372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29,556,633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excluded the following potential common shares, presented based on weighted average shares outstanding, from the computation of diluted net income (loss) per share because including them would have had an anti-dilutive effect:</w:t>
      </w:r>
    </w:p>
    <w:tbl>
      <w:tblPr>
        <w:tblW w:w="7198" w:type="dxa"/>
        <w:jc w:val="left"/>
        <w:tblInd w:w="0" w:type="dxa"/>
        <w:tblLayout w:type="fixed"/>
        <w:tblCellMar>
          <w:top w:w="28" w:type="dxa"/>
          <w:left w:w="28" w:type="dxa"/>
          <w:bottom w:w="28" w:type="dxa"/>
          <w:right w:w="28" w:type="dxa"/>
        </w:tblCellMar>
      </w:tblPr>
      <w:tblGrid>
        <w:gridCol w:w="3046"/>
        <w:gridCol w:w="146"/>
        <w:gridCol w:w="146"/>
        <w:gridCol w:w="931"/>
        <w:gridCol w:w="146"/>
        <w:gridCol w:w="146"/>
        <w:gridCol w:w="146"/>
        <w:gridCol w:w="931"/>
        <w:gridCol w:w="146"/>
        <w:gridCol w:w="146"/>
        <w:gridCol w:w="146"/>
        <w:gridCol w:w="931"/>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4,893,838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3,295,161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5,286,547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5,929,189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3,382,947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16. Related Party Transactions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Employment of Dr. Amira Hassanein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Dr. Amira Hassanein, who serves as Product Director for the Company’s OCS Lung program, is the sister of Dr. Waleed Hassanein, the Company’s President, Chief Executive Officer and a member of the Company’s board of directors. The Company paid Dr. Amira Hassanein $0.5 million in total compensation in the year ended December 31, 2024 and $0.4 million in total compensation in each of the years ended December 31, 2023 and 2022, for her services as an employee. </w:t>
      </w:r>
    </w:p>
    <w:p>
      <w:pPr>
        <w:pStyle w:val="TextBody"/>
        <w:bidi w:val="0"/>
        <w:spacing w:before="240" w:after="283"/>
        <w:jc w:val="both"/>
        <w:rPr>
          <w:rFonts w:ascii="Times New Roman" w:hAnsi="Times New Roman"/>
          <w:sz w:val="20"/>
        </w:rPr>
      </w:pPr>
      <w:r>
        <w:rPr>
          <w:rFonts w:ascii="Times New Roman" w:hAnsi="Times New Roman"/>
          <w:b/>
          <w:color w:val="000000"/>
          <w:sz w:val="20"/>
        </w:rPr>
        <w:t>17. Subsequent Events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separate transactions in January 2025 and February 2025, the Company acquired two fixed-wing aircraft from two separate sellers for a total purchase price of $28.4 million. The Company plans to utilize these aircraft as part of the NOP's aviation transportation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bookmarkStart w:id="32" w:name="item_9_changes_in_disagreements_with_acc"/>
      <w:bookmarkEnd w:id="32"/>
      <w:r>
        <w:rPr>
          <w:rFonts w:ascii="Times New Roman" w:hAnsi="Times New Roman"/>
          <w:b/>
          <w:color w:val="000000"/>
          <w:sz w:val="20"/>
        </w:rPr>
        <w:t>Item 9. Changes in and Disagreements with Accountants on Accounting and Financial Disclosure.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sz w:val="20"/>
        </w:rPr>
      </w:pPr>
      <w:bookmarkStart w:id="33" w:name="item_9a_controls_procedures"/>
      <w:bookmarkEnd w:id="33"/>
      <w:r>
        <w:rPr>
          <w:rFonts w:ascii="Times New Roman" w:hAnsi="Times New Roman"/>
          <w:b/>
          <w:color w:val="000000"/>
          <w:sz w:val="20"/>
        </w:rPr>
        <w:t>Item 9A. Controls and Procedures.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with the participation of our President and Chief Executive Officer and our Chief Financial Officer (our principal executive officer and principal financial and accounting officer, respectively), evaluated the effectiveness of our disclosure controls and procedures as of December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2024, our President and Chief Executive Officer and our Chief Financial Officer concluded that, as of such date, our disclosure controls and procedures were not effective due to the material weakness in internal control over financial reporting described below. Notwithstanding the material weakness, and based on the additional analyses and other procedures management performed, we have concluded that our consolidated financial statements included in this Annual Report on Form 10-K present fairly, in all material respects, our financial position and results of operations and cash flows as of each of the dates, and for each of the periods, presented therein in accordance with generally accepted accounting principles in the United States of America.</w:t>
      </w:r>
    </w:p>
    <w:p>
      <w:pPr>
        <w:pStyle w:val="TextBody"/>
        <w:bidi w:val="0"/>
        <w:spacing w:before="240" w:after="283"/>
        <w:jc w:val="both"/>
        <w:rPr>
          <w:rFonts w:ascii="Times New Roman" w:hAnsi="Times New Roman"/>
          <w:sz w:val="20"/>
        </w:rPr>
      </w:pPr>
      <w:r>
        <w:rPr>
          <w:rFonts w:ascii="Times New Roman" w:hAnsi="Times New Roman"/>
          <w:b/>
          <w:i/>
          <w:color w:val="000000"/>
          <w:sz w:val="20"/>
        </w:rPr>
        <w:t>Management’s Annual Report on Internal Control over Financial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is responsible for establishing and maintaining adequate internal control over financial reporting, as such term is defined in Rules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GAAP.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Internal control over financial reporting includes policies and procedures that: (1) pertain to the maintenance of records that, in reasonable detail, accurately and fairly reflect transactions and disposition of assets; (2) provide reasonable assurance that transactions are recorded as necessary to permit preparation of financial statements in accordance with GAAP, and that receipts and expenditures are being made only in accordance with the authorization of its management and directors; and (3) provide reasonable assurance regarding the prevention or timely detection of unauthorized acquisition, use, or disposition of our assets that could have a material effect on its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the effectiveness to future periods are subject to the risk that controls may become inadequate because of changes in conditions, or that the degree of compliance with the policies and procedures included in such controls may deteriorate.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 conducted an assessment of the effectiveness of our internal control over financial reporting as of December 31, 2024 based on the criteria described in “Internal Control-Integrated Framework” (2013) issued by the Committee of Sponsoring Organization of the Treadway Commission. Based on this assessment, management concluded that, as of December 31, 2024, our internal control over financial reporting was not effective due to the material weakness described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The Company did not design and maintain effective controls over inventory movement within its manufacturing network. Specifically, while effective controls are in place to verify the existence and accuracy of inventory as of year-end, effective controls were not designed and maintained to verify that inventory movements are appropriately recorded in the interim financial statements. The material weakness resulted in immaterial misstatements to inventory, cost of net product revenue, selling, general and administrative expenses and research and development expenses, in the interim consolidated financial statements for the quarterly and year-to-date periods ended March 31, 2024, June 30, 2024 and September 30, 2024. Additionally, the material weakness could result in a misstatement of the aforementioned accounts and disclosures that would result in a material misstatement to the interim consolidated financial statements that would not be prevented or detected.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effectiveness of our internal control over financial reporting as of December 31, 2024 has been audited by PricewaterhouseCoopers, LLP, an independent registered public accounting firm, as stated in their report which appears in Item 8 of this Form 10-K.</w:t>
      </w:r>
    </w:p>
    <w:p>
      <w:pPr>
        <w:pStyle w:val="TextBody"/>
        <w:bidi w:val="0"/>
        <w:spacing w:before="240" w:after="283"/>
        <w:jc w:val="both"/>
        <w:rPr>
          <w:rFonts w:ascii="Times New Roman" w:hAnsi="Times New Roman"/>
          <w:sz w:val="20"/>
        </w:rPr>
      </w:pPr>
      <w:r>
        <w:rPr>
          <w:rFonts w:ascii="Times New Roman" w:hAnsi="Times New Roman"/>
          <w:b/>
          <w:i/>
          <w:color w:val="000000"/>
          <w:sz w:val="20"/>
        </w:rPr>
        <w:t>Remediation Plan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and our board of directors are committed to maintaining a strong internal control environment. Management, with the oversight of the audit committee of our board of directors, is in the process of assessing and finalizing its plan for remediation for the material weakness described above. We intend to remediate this material weakness as soon as possible, and we have begun assessing our design of internal controls to remediate the aforementioned control deficiency. The Company will remediate by designing and implementing control activities to ensure the movement of inventory is timely and accurately recorded throughout the course of the year.</w:t>
      </w:r>
    </w:p>
    <w:p>
      <w:pPr>
        <w:pStyle w:val="TextBody"/>
        <w:bidi w:val="0"/>
        <w:spacing w:before="240" w:after="283"/>
        <w:jc w:val="both"/>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changes in our internal control over financial reporting (as defined in Rules 13a-15(f) and 15d-15(f) under the Exchange Act) occurred during the three months ended December 31, 2024 that have materially affected, or are reasonably likely to materially affect, our internal control over financial reporting.</w:t>
      </w:r>
    </w:p>
    <w:p>
      <w:pPr>
        <w:pStyle w:val="TextBody"/>
        <w:bidi w:val="0"/>
        <w:spacing w:before="240" w:after="283"/>
        <w:jc w:val="both"/>
        <w:rPr>
          <w:rFonts w:ascii="Times New Roman" w:hAnsi="Times New Roman"/>
          <w:sz w:val="20"/>
        </w:rPr>
      </w:pPr>
      <w:bookmarkStart w:id="34" w:name="item_9b_or_information"/>
      <w:bookmarkEnd w:id="34"/>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our fiscal quarter ended December 31, 2024, certain of our directors and officers entered into a contract, instruction or written plan for the purchase or sale of our securities that is intended to satisfy the conditions specified in Rule 10b5-1(c) under the Exchange Act for an affirmative defense against liability for trading in securities on the basis of material nonpublic information. We refer to these contracts, instructions, and written plans as “Rule 10b5-1 trading plans” and each one as a “Rule 10b5-1 trading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describe the material terms of these Rule 10b5-1 trading plans in the table below.</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Rule 10b5-1 Trading Plans</w:t>
      </w:r>
    </w:p>
    <w:tbl>
      <w:tblPr>
        <w:tblW w:w="9983" w:type="dxa"/>
        <w:jc w:val="left"/>
        <w:tblInd w:w="0" w:type="dxa"/>
        <w:tblLayout w:type="fixed"/>
        <w:tblCellMar>
          <w:top w:w="28" w:type="dxa"/>
          <w:left w:w="28" w:type="dxa"/>
          <w:bottom w:w="28" w:type="dxa"/>
          <w:right w:w="28" w:type="dxa"/>
        </w:tblCellMar>
      </w:tblPr>
      <w:tblGrid>
        <w:gridCol w:w="1306"/>
        <w:gridCol w:w="146"/>
        <w:gridCol w:w="1891"/>
        <w:gridCol w:w="146"/>
        <w:gridCol w:w="1261"/>
        <w:gridCol w:w="146"/>
        <w:gridCol w:w="1006"/>
        <w:gridCol w:w="146"/>
        <w:gridCol w:w="1366"/>
        <w:gridCol w:w="146"/>
        <w:gridCol w:w="234"/>
        <w:gridCol w:w="1086"/>
        <w:gridCol w:w="146"/>
        <w:gridCol w:w="146"/>
        <w:gridCol w:w="81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Securities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 Purchased 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Commencement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Sold Pursuant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Covers</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Trading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Trading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Rule 10b5-1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w:t>
            </w:r>
          </w:p>
        </w:tc>
      </w:tr>
      <w:tr>
        <w:trPr/>
        <w:tc>
          <w:tcPr>
            <w:tcW w:w="13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Director/Officer</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Action</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Covered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Plan (2)</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 Sale</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Tamer Khayal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Adoption 12/05/2024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7-Mar-25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9-Mar-26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Sale</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Basile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Adoption 11/06/2024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28-Feb-25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13-Feb-26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Sale</w:t>
            </w:r>
          </w:p>
        </w:tc>
      </w:tr>
    </w:tbl>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plan is subject to earlier termination under certain circumstances specified in the plan, including upon the sale or purchase (as applicable) of all shares subject to the plan and upon either party to a plan giving notice of termination within the time prescribed under the plan.</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Subject to adjustments for stock splits, stock combinations, stock dividends and other similar changes to our common stock.</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sz w:val="20"/>
        </w:rPr>
      </w:pPr>
      <w:r>
        <w:rPr>
          <w:rFonts w:ascii="Times New Roman" w:hAnsi="Times New Roman"/>
          <w:color w:val="000000"/>
          <w:sz w:val="16"/>
        </w:rPr>
        <w:t>The maximum number of securities to be sold pursuant to the Rule 10b5-1 Trading Plan is equal to 33,269, plus shares that may be received by Dr. Khayal in connection with vesting of restricted stock units prior to the scheduled termination date.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bookmarkStart w:id="35" w:name="item_9c_disclos_foreign_jurisdictions"/>
      <w:bookmarkEnd w:id="35"/>
      <w:r>
        <w:rPr>
          <w:rFonts w:ascii="Times New Roman" w:hAnsi="Times New Roman"/>
          <w:b/>
          <w:color w:val="000000"/>
          <w:sz w:val="20"/>
        </w:rPr>
        <w:t>Item 9C. Disclosures Regarding Foreign Jurisdictions that Prevent Inspections.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36" w:name="item_10_directors_executive_ficers_corpo"/>
      <w:bookmarkEnd w:id="36"/>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required by this Item 10 will be included in our Definitive Proxy Statement to be filed with the Securities and Exchange Commission, or SEC, with respect to our 2025 Annual Meeting of Stockholders and is incorporated herein by reference.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adopted an insider trading policy governing the purchase, sale and other dispositions of the Company’s securities that applies to the Company’s directors, officers, employees, and other covered persons. The Company’s insider trading policy also applies to transactions by the Company in its securities. The Company believes that its insider trading policy is reasonably designed to promote compliance with insider trading laws, rules and regulations, and exchange listing standards applicable to the Company. A copy of the Company’s insider trading policy is filed as Exhibit 19.1 to this Annual Report on Form 10-K.</w:t>
      </w:r>
    </w:p>
    <w:p>
      <w:pPr>
        <w:pStyle w:val="TextBody"/>
        <w:bidi w:val="0"/>
        <w:spacing w:before="240" w:after="283"/>
        <w:jc w:val="both"/>
        <w:rPr>
          <w:rFonts w:ascii="Times New Roman" w:hAnsi="Times New Roman"/>
          <w:sz w:val="20"/>
        </w:rPr>
      </w:pPr>
      <w:bookmarkStart w:id="37" w:name="item_11_executive_compensation"/>
      <w:bookmarkEnd w:id="37"/>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required by this Item 11 will be included in our Definitive Proxy Statement to be filed with the Securities and Exchange Commission, or SEC, with respect to our 2025 Annual Meeting of Stockholders and is incorporated herein by reference.</w:t>
      </w:r>
    </w:p>
    <w:p>
      <w:pPr>
        <w:pStyle w:val="TextBody"/>
        <w:bidi w:val="0"/>
        <w:spacing w:before="240" w:after="283"/>
        <w:jc w:val="both"/>
        <w:rPr>
          <w:rFonts w:ascii="Times New Roman" w:hAnsi="Times New Roman"/>
          <w:sz w:val="20"/>
        </w:rPr>
      </w:pPr>
      <w:bookmarkStart w:id="38" w:name="item_12_security_ownership_certain_benef"/>
      <w:bookmarkEnd w:id="38"/>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required by this Item 12 will be included in our Definitive Proxy Statement to be filed with the Securities and Exchange Commission, or SEC, with respect to our 2025 Annual Meeting of Stockholders and is incorporated herein by reference.</w:t>
      </w:r>
    </w:p>
    <w:p>
      <w:pPr>
        <w:pStyle w:val="TextBody"/>
        <w:bidi w:val="0"/>
        <w:spacing w:before="240" w:after="283"/>
        <w:jc w:val="both"/>
        <w:rPr>
          <w:rFonts w:ascii="Times New Roman" w:hAnsi="Times New Roman"/>
          <w:sz w:val="20"/>
        </w:rPr>
      </w:pPr>
      <w:bookmarkStart w:id="39" w:name="item_13_certain_relationships_related_tr"/>
      <w:bookmarkEnd w:id="39"/>
      <w:r>
        <w:rPr>
          <w:rFonts w:ascii="Times New Roman" w:hAnsi="Times New Roman"/>
          <w:b/>
          <w:color w:val="000000"/>
          <w:sz w:val="20"/>
        </w:rPr>
        <w:t>Item 13. Certain Relationships and Related</w:t>
      </w:r>
      <w:r>
        <w:rPr>
          <w:rFonts w:ascii="Times New Roman" w:hAnsi="Times New Roman"/>
          <w:color w:val="000000"/>
          <w:sz w:val="20"/>
        </w:rPr>
        <w:t xml:space="preserve"> </w:t>
      </w:r>
      <w:r>
        <w:rPr>
          <w:rFonts w:ascii="Times New Roman" w:hAnsi="Times New Roman"/>
          <w:b/>
          <w:color w:val="000000"/>
          <w:sz w:val="20"/>
        </w:rPr>
        <w:t>Transactions, and Director Independence.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required by this Item 13 will be included in our Definitive Proxy Statement to be filed with the Securities and Exchange Commission, or SEC, with respect to our 2025 Annual Meeting of Stockholders and is incorporated herein by reference.</w:t>
      </w:r>
    </w:p>
    <w:p>
      <w:pPr>
        <w:pStyle w:val="TextBody"/>
        <w:bidi w:val="0"/>
        <w:spacing w:before="240" w:after="283"/>
        <w:jc w:val="both"/>
        <w:rPr>
          <w:rFonts w:ascii="Times New Roman" w:hAnsi="Times New Roman"/>
          <w:sz w:val="20"/>
        </w:rPr>
      </w:pPr>
      <w:bookmarkStart w:id="40" w:name="item_14_principal_accounting_fees_servic"/>
      <w:bookmarkEnd w:id="40"/>
      <w:r>
        <w:rPr>
          <w:rFonts w:ascii="Times New Roman" w:hAnsi="Times New Roman"/>
          <w:b/>
          <w:color w:val="000000"/>
          <w:sz w:val="20"/>
        </w:rPr>
        <w:t>Item 14. Principal Accounting Fees and Services.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information required by this Item 14 will be included in our Definitive Proxy Statement to be filed with the Securities and Exchange Commission, or SEC, with respect to our 2025 Annual Meeting of Stockholders and is incorporated herein by reference.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41" w:name="part_iv"/>
      <w:bookmarkEnd w:id="41"/>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42" w:name="item_15_exhibits_financial_statement_sch"/>
      <w:bookmarkEnd w:id="42"/>
      <w:r>
        <w:rPr>
          <w:rFonts w:ascii="Times New Roman" w:hAnsi="Times New Roman"/>
          <w:b/>
          <w:color w:val="000000"/>
          <w:sz w:val="20"/>
        </w:rPr>
        <w:t>Item 15. Exhibits, Financial Statement Schedules.</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documents are included on pages 81 through 115 attached hereto and are filed as part of this Annual Report on Form 10-K.</w:t>
      </w:r>
    </w:p>
    <w:p>
      <w:pPr>
        <w:pStyle w:val="TextBody"/>
        <w:bidi w:val="0"/>
        <w:jc w:val="left"/>
        <w:rPr/>
      </w:pPr>
      <w:r>
        <w:rPr/>
        <w:t> </w:t>
      </w:r>
    </w:p>
    <w:tbl>
      <w:tblPr>
        <w:tblW w:w="5672" w:type="dxa"/>
        <w:jc w:val="left"/>
        <w:tblInd w:w="0" w:type="dxa"/>
        <w:tblLayout w:type="fixed"/>
        <w:tblCellMar>
          <w:top w:w="28" w:type="dxa"/>
          <w:left w:w="28" w:type="dxa"/>
          <w:bottom w:w="28" w:type="dxa"/>
          <w:right w:w="28" w:type="dxa"/>
        </w:tblCellMar>
      </w:tblPr>
      <w:tblGrid>
        <w:gridCol w:w="4861"/>
        <w:gridCol w:w="811"/>
      </w:tblGrid>
      <w:tr>
        <w:trPr/>
        <w:tc>
          <w:tcPr>
            <w:tcW w:w="486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4861" w:type="dxa"/>
            <w:tcBorders/>
            <w:tcMar>
              <w:top w:w="0" w:type="dxa"/>
              <w:left w:w="0" w:type="dxa"/>
              <w:bottom w:w="0" w:type="dxa"/>
              <w:right w:w="0" w:type="dxa"/>
            </w:tcMar>
            <w:vAlign w:val="center"/>
          </w:tcPr>
          <w:p>
            <w:pPr>
              <w:pStyle w:val="TableContents"/>
              <w:pBdr/>
              <w:bidi w:val="0"/>
              <w:spacing w:before="0" w:after="283"/>
              <w:ind w:left="0" w:right="0" w:hanging="24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20"/>
              <w:ind w:left="0" w:right="0" w:firstLine="240"/>
              <w:jc w:val="center"/>
              <w:rPr>
                <w:rFonts w:ascii="Times New Roman" w:hAnsi="Times New Roman"/>
                <w:b/>
                <w:color w:val="000000"/>
                <w:sz w:val="20"/>
              </w:rPr>
            </w:pPr>
            <w:r>
              <w:rPr>
                <w:rFonts w:ascii="Times New Roman" w:hAnsi="Times New Roman"/>
                <w:b/>
                <w:color w:val="000000"/>
                <w:sz w:val="20"/>
              </w:rPr>
              <w:t>Page</w:t>
            </w:r>
          </w:p>
        </w:tc>
      </w:tr>
      <w:tr>
        <w:trPr/>
        <w:tc>
          <w:tcPr>
            <w:tcW w:w="486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report_of_independent_auditors">
              <w:r>
                <w:rPr>
                  <w:rStyle w:val="InternetLink"/>
                  <w:rFonts w:ascii="Times New Roman" w:hAnsi="Times New Roman"/>
                  <w:color w:val="0000FF"/>
                  <w:sz w:val="20"/>
                  <w:u w:val="single"/>
                </w:rPr>
                <w:t>Report of Independent Registered Public Accounting Firm</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82</w:t>
            </w:r>
          </w:p>
        </w:tc>
      </w:tr>
      <w:tr>
        <w:trPr/>
        <w:tc>
          <w:tcPr>
            <w:tcW w:w="486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balance_sheets">
              <w:r>
                <w:rPr>
                  <w:rStyle w:val="InternetLink"/>
                  <w:rFonts w:ascii="Times New Roman" w:hAnsi="Times New Roman"/>
                  <w:color w:val="0000FF"/>
                  <w:sz w:val="20"/>
                  <w:u w:val="single"/>
                </w:rPr>
                <w:t>Consolidated Balance Sheets</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84</w:t>
            </w:r>
          </w:p>
        </w:tc>
      </w:tr>
      <w:tr>
        <w:trPr/>
        <w:tc>
          <w:tcPr>
            <w:tcW w:w="486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s_operations">
              <w:r>
                <w:rPr>
                  <w:rStyle w:val="InternetLink"/>
                  <w:rFonts w:ascii="Times New Roman" w:hAnsi="Times New Roman"/>
                  <w:color w:val="0000FF"/>
                  <w:sz w:val="20"/>
                  <w:u w:val="single"/>
                </w:rPr>
                <w:t>Consolidated Statements of Operations</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85</w:t>
            </w:r>
          </w:p>
        </w:tc>
      </w:tr>
      <w:tr>
        <w:trPr/>
        <w:tc>
          <w:tcPr>
            <w:tcW w:w="486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s_comprehensive_lo">
              <w:r>
                <w:rPr>
                  <w:rStyle w:val="InternetLink"/>
                  <w:rFonts w:ascii="Times New Roman" w:hAnsi="Times New Roman"/>
                  <w:color w:val="0000FF"/>
                  <w:sz w:val="20"/>
                  <w:u w:val="single"/>
                </w:rPr>
                <w:t>Consolidated Statements of Comprehensive Income (Loss)</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86</w:t>
            </w:r>
          </w:p>
        </w:tc>
      </w:tr>
      <w:tr>
        <w:trPr/>
        <w:tc>
          <w:tcPr>
            <w:tcW w:w="486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s_stockholders_equ">
              <w:r>
                <w:rPr>
                  <w:rStyle w:val="InternetLink"/>
                  <w:rFonts w:ascii="Times New Roman" w:hAnsi="Times New Roman"/>
                  <w:color w:val="0000FF"/>
                  <w:sz w:val="20"/>
                  <w:u w:val="single"/>
                </w:rPr>
                <w:t>Consolidated Statements of Stockholders’ Equity</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87</w:t>
            </w:r>
          </w:p>
        </w:tc>
      </w:tr>
      <w:tr>
        <w:trPr/>
        <w:tc>
          <w:tcPr>
            <w:tcW w:w="486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s_cash_flows1">
              <w:r>
                <w:rPr>
                  <w:rStyle w:val="InternetLink"/>
                  <w:rFonts w:ascii="Times New Roman" w:hAnsi="Times New Roman"/>
                  <w:color w:val="0000FF"/>
                  <w:sz w:val="20"/>
                  <w:u w:val="single"/>
                </w:rPr>
                <w:t>Consolidated Statements of Cash Flows</w:t>
              </w:r>
            </w:hyperlink>
          </w:p>
        </w:tc>
        <w:tc>
          <w:tcPr>
            <w:tcW w:w="811"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88</w:t>
            </w:r>
          </w:p>
        </w:tc>
      </w:tr>
      <w:tr>
        <w:trPr/>
        <w:tc>
          <w:tcPr>
            <w:tcW w:w="4861"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811"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89</w:t>
            </w:r>
          </w:p>
        </w:tc>
      </w:tr>
    </w:tbl>
    <w:p>
      <w:pPr>
        <w:pStyle w:val="TextBody"/>
        <w:bidi w:val="0"/>
        <w:jc w:val="left"/>
        <w:rPr/>
      </w:pPr>
      <w:bookmarkStart w:id="43" w:name="n2_financial"/>
      <w:bookmarkEnd w:id="43"/>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 Financial Statement Schedules: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financial statement schedules have been omitted because they are not applicable, not required or the information required is shown in the financial statements or the notes thereto.</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 Exhibits.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a list of exhibits filed as part of this Annual Report on Form 10-K.</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Restated Articles of Organization (incorporated by reference to Exhibit 3.1 to the Registrant's Annual Report on Form 10-K (File No. 001-38891) filed with the SEC on March 17, 2020)</w:t>
              </w:r>
            </w:hyperlink>
            <w:r>
              <w:rPr>
                <w:rFonts w:ascii="Times New Roman" w:hAnsi="Times New Roman"/>
                <w:color w:val="000000"/>
                <w:sz w:val="20"/>
              </w:rPr>
              <w:t xml:space="preserve">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Second Amended and Restated Bylaws (incorporated by reference to Exhibit 3.1 to the Registrant’s Current Report on Form 8-K (File No. 001-38891) filed with the SEC on November 4, 2022)</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Specimen stock certificate evidencing shares of common stock (incorporated by reference to Exhibit 4.1 to the Registrant’s Registration Statement on Form S-1 (File No. 333-230736) filed with the SEC on April 5, 2019).</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0">
              <w:r>
                <w:rPr>
                  <w:rStyle w:val="InternetLink"/>
                  <w:rFonts w:ascii="Times New Roman" w:hAnsi="Times New Roman"/>
                  <w:color w:val="0000FF"/>
                  <w:sz w:val="20"/>
                  <w:u w:val="single"/>
                </w:rPr>
                <w:t>Description of Registered Securities (incorporated by reference to Exhibit 4.5 to the Registrant's Annual Report on Form 10-K (File No. 001-38891) filed with the SEC on March 17, 2020)</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Indenture, dated as of May 11, 2023, by and between TransMedics Group, Inc. and U.S. Bank Trust Company, National Association (including the form of the 1.50% Convertible Senior Note due 2028) (incorporated by reference to Exhibit 4.1 to the Registrant’s Current Report on Form 8-K (File No. 001-38891) filed with the SEC on May 11, 2023).</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Note (included in Exhibit 4.1) (incorporated by reference to Exhibit 4.2 to the Registrant’s Current Report on Form 8-K (File No. 001-38891) filed with the SEC on May 11, 2023).</w:t>
              </w:r>
            </w:hyperlink>
            <w:hyperlink r:id="rId13">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Ninth Amended and Restated Investor Rights Agreement, dated as of May 6, 2019, by and among TransMedics Group, Inc., TransMedics, Inc. and the shareholders party thereto (incorporated by reference to Exhibit 10.1 to the Registrant’s Current Report on Form 8-K (File No. 001-38891) filed with the SEC on May 1, 2019)</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Indemnification Agreement between the Registrant and each of its directors and executive officers (incorporated by reference to Exhibit 10.2 to the Registrant’s Registration Statement on Form S-1 (File No. 333-230736) filed with the SEC on April 5, 2019)</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Amended and Restated 2004 Stock Incentive Plan (incorporated by reference to Exhibit 10.3 to the Registrant’s Registration Statement on Form S-1 (File No. 333-230736) filed with the SEC on April 5, 2019)</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4"/>
        <w:gridCol w:w="146"/>
        <w:gridCol w:w="9315"/>
      </w:tblGrid>
      <w:tr>
        <w:trPr/>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5" w:type="dxa"/>
            <w:tcBorders/>
            <w:vAlign w:val="center"/>
          </w:tcPr>
          <w:p>
            <w:pPr>
              <w:pStyle w:val="TableContents"/>
              <w:bidi w:val="0"/>
              <w:spacing w:before="0" w:after="283"/>
              <w:jc w:val="left"/>
              <w:rPr>
                <w:sz w:val="4"/>
                <w:szCs w:val="4"/>
              </w:rPr>
            </w:pPr>
            <w:r>
              <w:rPr>
                <w:sz w:val="4"/>
                <w:szCs w:val="4"/>
              </w:rPr>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Incentive Stock Option Agreement under 2004 Stock Incentive Plan (incorporated by reference to Exhibit 10.4 to the Registrant’s Registration Statement on Form S-1 (File No. 333-230736) filed with the SEC on April 5, 2019)</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Amended and Restated 2014 Stock Incentive Plan (incorporated by reference to Exhibit 10.5 to the Registrant’s Registration Statement on Form S-1 (File No. 333-230736) filed with the SEC on April 5, 2019)</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Incentive Stock Option Agreement under 2014 Stock Incentive Plan (incorporated by reference to Exhibit 10.6 to the Registrant’s Registration Statement on Form S-1 (File No. 333-230736) filed with the SEC on April 5, 2019)</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Non-Qualified Stock Option Agreement under 2014 Stock Incentive Plan (incorporated by reference to Exhibit 10.7 to the Registrant’s Registration Statement on Form S-1 (File No. 333-230736) filed with the SEC on April 5, 2019)</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Form of Restricted Stock Agreement under 2014 Stock Incentive Plan (incorporated by reference to Exhibit 10.8 to the Registrant’s Registration Statement on Form S-1 (File No. 333-230736) filed with the SEC on April 5, 2019)</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Amended and Restated 2019 Stock Incentive Plan (incorporated by reference to Exhibit 10.1 to the Registrant’s Current Report on Form 8-K (File No. 001-38891) filed with the SEC on May 26, 2023)</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Incentive Stock Option Agreement under 2019 Stock Incentive Plan (incorporated by reference to Exhibit 10.10 to the Registrant’s Registration Statement on Form S-1 (File No. 333-230736) filed with the SEC on April 22, 2019)</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Form of Non-Statutory Stock Option Agreement under 2019 Stock Incentive Plan (incorporated by reference to Exhibit 10.11 to the Registrant’s Registration Statement on Form S-1 (File No. 333-230736) filed with the SEC on April 22, 2019)</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Form of Restricted Stock Unit Award under 2019 Stock Incentive Plan (incorporated by reference to Exhibit 10.1 to the Registrant’s Current Report on Form 8-K (File No. 001-38891) filed with the SEC on February 24, 2023).</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2019 Employee Stock Purchase Plan (incorporated by reference to Exhibit 10.12 to the Registrant’s Registration Statement on Form S-1 (File No. 333-230736) filed with the SEC on April 22, 2019)</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2019 Cash Incentive Plan (incorporated by reference to Exhibit 10.13 to the Registrant’s Registration Statement on Form S-1 (File No. 333-230736) filed with the SEC on April 22, 2019)</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TransMedics Group, Inc. Inducement Plan (incorporated by reference to Exhibit 10.1 to the Registrant’s Current Report on Form 8-K (File No. 001-38891) filed with the SEC on August 9, 2021)</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Form of Inducement Restricted Stock Unit Award (incorporated by reference to Exhibit 10.2 to the Registrant’s Current Report on Form 8-K (File No. 001-38891) filed with the SEC on February 24, 2023).</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Executive Retention Agreement, dated as of November 15, 2007, by and among the Registrant and Waleed H. Hassanein, M.D. (incorporated by reference to Exhibit 10.14 to the Registrant’s Registration Statement on Form S-1 (File No. 333-230736) filed with the SEC on April 5, 2019)</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Executive Retention Agreement, dated as of November 15, 2007, by and among the Registrant and Tamer I. Khayal, M.D. (incorporated by reference to Exhibit 10.15 to the Registrant’s Registration Statement on Form S-1 (File No. 333-230736) filed with the SEC on April 5, 2019)</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Executive Retention Agreement, dated as of March 23, 2015, by and among the Registrant and Stephen Gordon (incorporated by reference to Exhibit 10.16 to the Registrant’s Registration Statement on Form S-1 (File No. 333-230736) filed with the SEC on April 5, 2019)</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Lease Agreement, dated as of June 25, 2004, between the Registrant and 200 Minuteman Limited Partnership (incorporated by reference to Exhibit 10.17 to the Registrant’s Registration Statement on Form S-1 (File No. 333-230736) filed with the SEC on April 5, 2019)</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First Amendment to Lease, dated as of September 28, 2004, between the Registrant and 200 Minuteman Limited Partnership (incorporated by reference to Exhibit 10.18 to the Registrant’s Registration Statement on Form S-1 (File No. 333-230736) filed with the SEC on April 5, 2019)</w:t>
              </w:r>
            </w:hyperlink>
          </w:p>
        </w:tc>
      </w:tr>
      <w:tr>
        <w:trPr/>
        <w:tc>
          <w:tcPr>
            <w:tcW w:w="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3"/>
        <w:gridCol w:w="146"/>
        <w:gridCol w:w="9316"/>
      </w:tblGrid>
      <w:tr>
        <w:trPr/>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6" w:type="dxa"/>
            <w:tcBorders/>
            <w:vAlign w:val="center"/>
          </w:tcPr>
          <w:p>
            <w:pPr>
              <w:pStyle w:val="TableContents"/>
              <w:bidi w:val="0"/>
              <w:spacing w:before="0" w:after="283"/>
              <w:jc w:val="left"/>
              <w:rPr>
                <w:sz w:val="4"/>
                <w:szCs w:val="4"/>
              </w:rPr>
            </w:pPr>
            <w:r>
              <w:rPr>
                <w:sz w:val="4"/>
                <w:szCs w:val="4"/>
              </w:rPr>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Second Amendment to Lease, dated as of November 29, 2005, between the Registrant and 200 Minuteman Limited Partnership (incorporated by reference to Exhibit 10.19 to the Registrant’s Registration Statement on Form S-1 (File No. 333-230736) filed with the SEC on April 5, 2019)</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Third Amendment to Lease, dated as of June 12, 2006, between the Registrant and 200 Minuteman Limited Partnership (incorporated by reference to Exhibit 10.20 to the Registrant’s Registration Statement on Form S-1 (File No. 333-230736) filed with the SEC on April 5, 2019)</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Fourth Amendment to Lease, dated as of February 1, 2007, between the Registrant and 200 Minuteman Limited Partnership (incorporated by reference to Exhibit 10.21 to the Registrant’s Registration Statement on Form S-1 (File No. 333-230736) filed with the SEC on April 5, 2019)</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Fifth Amendment to Lease, dated as of April 30, 2010, between the Registrant and 200 Minuteman Limited Partnership (incorporated by reference to Exhibit 10.22 to the Registrant’s Registration Statement on Form S-1 (File No. 333-230736) filed with the SEC on April 5, 2019)</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Lease Agreement, dated as of June 25, 2004, between the Registrant and 30 Minuteman Limited Partnership (incorporated by reference to Exhibit 10.23 to the Registrant’s Registration Statement on Form S-1 (File No. 333-230736) filed with the SEC on April 5, 2019)</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Second Amendment to Lease, dated as of November 29, 2005, between the Registrant and 30 Minuteman Limited Partnership (incorporated by reference to Exhibit 10.24 to the Registrant’s Registration Statement on Form S-1 (File No. 333-230736) filed with the SEC on April 5, 2019)</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Third Amendment to Lease, dated as of April 30, 2010, between the Registrant and 30 Minuteman Limited Partnership (incorporated by reference to Exhibit 10.25 to the Registrant’s Registration Statement on Form S-1 (File No. 333-230736) filed with the SEC on April 5, 2019)</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Omnibus Amendment #1 to Lease Agreement, dated January 9, 2020, by and among the Company, Whetstone 200 Minuteman Park, LLC and Whetstone 30 Minuteman Park, LLC (incorporated by reference to Exhibit 10.26 to the Registrant's Annual Report on Form 10-K (File No. 001-38891) filed with the SEC on March 17, 2020)</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Credit Agreement, dated as of July 25, 2022, by and among TransMedics Group, Inc., the lenders party thereto and Canadian Imperial Bank of Commerce, as administrative agent and collateral agent (incorporated by reference to Exhibit 10.1 to the Registrant’s Current Report on Form 8-K (File No. 001-38891) filed with the SEC on July 29, 2022)</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First Amendment to Credit Agreement, dated as of May 8, 2023, by and among TransMedics Group, Inc., the lender party thereto and Canadian Imperial Bank of Commerce, as administrative agent (incorporated by reference to Exhibit 10.1 to the Registrant’s Current Report on Form 8-K (File No. 001-38891) filed with the SEC on May 9, 2023).</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Second Amendment to Credit Agreement, dated as of June 23, 2023, by and among TransMedics Group, Inc., the lenders party thereto and Canadian Imperial Bank of Commerce, as administrative agent (incorporated by reference to Exhibit 10.1 to the Registrant’s Current Report on Form 8-K (File No. 001-38891) filed with the SEC on June 29, 2023).</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Third Amendment to Credit Agreement, dated as of November 9, 2023, by and among TransMedics Group, Inc., the lenders party thereto and Canadian Imperial Bank of Commerce, as administrative agent (incorporated by reference to Exhibit 10.1 to the Registrant’s Current Report on Form 8-K (File No. 001-38891) filed with the SEC on November 13, 2023).</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Assumption Agreement, dated as of December 22, 2023, by Summit Aviation, Inc. and Northside Property Group, LLC in favor of Canadian Imperial Bank of Commerce, as administrative agent and collateral agent for lenders party to the Credit Agreement, dated as of July 25, 2022, by and among TransMedics Group, Inc., the lenders party thereto and Canadian Imperial Bank of Commerce, as administrative agent (incorporated by reference to Exhibit 10.34 to the Registrant’s Annual Report on Form 10-K (File No. 001-38891) filed with the SEC on February 27, 2024).</w:t>
              </w:r>
            </w:hyperlink>
            <w:r>
              <w:rPr>
                <w:rFonts w:ascii="Times New Roman" w:hAnsi="Times New Roman"/>
                <w:color w:val="000000"/>
                <w:sz w:val="20"/>
              </w:rPr>
              <w:t xml:space="preserve">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Guarantee and Collateral Agreement, dated as of July 25, 2022, by and among TransMedics Group, Inc., TransMedics, Inc., TransMedics B.V. and Canadian Imperial Bank of Commerce (incorporated by reference to Exhibit 10.2 to the Registrant’s Current Report on Form 8-K (File No. 001-38891) filed with the SEC on July 29, 2022).</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Development and Supply Agreement dated as of May 24, 2005 by and between the Registrant and Fresenius Kabi AB (incorporated by reference to Exhibit 10.32 to the Registrant’s Registration Statement on Form S-1 (File No. 333-230736) filed with the SEC on April 5, 2019)</w:t>
              </w:r>
            </w:hyperlink>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4"/>
        <w:gridCol w:w="146"/>
        <w:gridCol w:w="9275"/>
      </w:tblGrid>
      <w:tr>
        <w:trPr/>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5" w:type="dxa"/>
            <w:tcBorders/>
            <w:vAlign w:val="center"/>
          </w:tcPr>
          <w:p>
            <w:pPr>
              <w:pStyle w:val="TableContents"/>
              <w:bidi w:val="0"/>
              <w:spacing w:before="0" w:after="283"/>
              <w:jc w:val="left"/>
              <w:rPr>
                <w:sz w:val="4"/>
                <w:szCs w:val="4"/>
              </w:rPr>
            </w:pPr>
            <w:r>
              <w:rPr>
                <w:sz w:val="4"/>
                <w:szCs w:val="4"/>
              </w:rPr>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Contract Manufacturing Agreement dated as of April 1, 2015 by and between the Registrant and Fresenius Kabi Austria GmbH (incorporated by reference to Exhibit 10.33 to the Registrant’s Registration Statement on Form S-1 (File No. 333-230736) filed with the SEC on April 5, 2019)</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Amendment to Executive Retention Agreement, by and between TransMedics, Inc. and Stephen Gordon, dated April 10, 2020 (incorporated by reference to the Registrant’s Current Report on Form 8-K (File No. 001-38891) filed with the SEC on April 13, 2020).</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Omnibus Amendment #2 to Lease, dated as of June 1, 2020, by and among the Company and Whetstone 200 Minuteman Park, LLC and Whetstone 30 Minuteman Park, LLC (incorporated by reference to the Registrant’s Quarterly Report on Form 10-Q (File No. 001-38891) filed with the SEC on August 7, 2020).</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10.40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Form of Call Option Transaction Confirmation (incorporated by reference to Exhibit 10.2 to the Registrant’s Current Report on Form 8-K (File No. 001-38891) filed with the SEC on May 11, 2023).</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mdx-ex10_41.htm">
              <w:r>
                <w:rPr>
                  <w:rStyle w:val="InternetLink"/>
                  <w:rFonts w:ascii="Times New Roman" w:hAnsi="Times New Roman"/>
                  <w:color w:val="0000FF"/>
                  <w:sz w:val="20"/>
                  <w:u w:val="single"/>
                </w:rPr>
                <w:t>Transition Agreement, by and between TransMedics, Inc. and Stephen Gordon, dated December 2, 2024</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mdx-ex10_42.htm">
              <w:r>
                <w:rPr>
                  <w:rStyle w:val="InternetLink"/>
                  <w:rFonts w:ascii="Times New Roman" w:hAnsi="Times New Roman"/>
                  <w:color w:val="0000FF"/>
                  <w:sz w:val="20"/>
                  <w:u w:val="single"/>
                </w:rPr>
                <w:t>Offer Letter dated as of November 26, 2024, by and between TransMedics, Inc. and Gerardo Hernandez</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mdx-ex10_43.htm">
              <w:r>
                <w:rPr>
                  <w:rStyle w:val="InternetLink"/>
                  <w:rFonts w:ascii="Times New Roman" w:hAnsi="Times New Roman"/>
                  <w:color w:val="0000FF"/>
                  <w:sz w:val="20"/>
                  <w:u w:val="single"/>
                </w:rPr>
                <w:t>Executive Retention Agreement, dated as of November 26, 2024, by and between the Registrant and Gerardo P. Hernandez Omana</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mdx-ex19_1.htm">
              <w:r>
                <w:rPr>
                  <w:rStyle w:val="InternetLink"/>
                  <w:rFonts w:ascii="Times New Roman" w:hAnsi="Times New Roman"/>
                  <w:color w:val="0000FF"/>
                  <w:sz w:val="20"/>
                  <w:u w:val="single"/>
                </w:rPr>
                <w:t>TransMedics Group, Inc. Insider Trading Policy</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mdx-ex21_1.htm">
              <w:r>
                <w:rPr>
                  <w:rStyle w:val="InternetLink"/>
                  <w:rFonts w:ascii="Times New Roman" w:hAnsi="Times New Roman"/>
                  <w:color w:val="0000FF"/>
                  <w:sz w:val="20"/>
                  <w:u w:val="single"/>
                </w:rPr>
                <w:t>Subsidiaries of the Registrant</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mdx-ex23_1.htm">
              <w:r>
                <w:rPr>
                  <w:rStyle w:val="InternetLink"/>
                  <w:rFonts w:ascii="Times New Roman" w:hAnsi="Times New Roman"/>
                  <w:color w:val="0000FF"/>
                  <w:sz w:val="20"/>
                  <w:u w:val="single"/>
                </w:rPr>
                <w:t>Consent of PricewaterhouseCoopers LLP, independent registered public accounting firm.</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md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md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md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md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TransMedics Group Inc. Policy for Recoupment of Incentive Compensation (incorporated by reference to Exhibit 97.1 to the Registrant’s Annual Report on Form 10-K (File No. 001-38891) filed with the SEC on February 27, 2024)</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4"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Furnished herewith.</w:t>
      </w:r>
    </w:p>
    <w:p>
      <w:pPr>
        <w:pStyle w:val="TextBody"/>
        <w:bidi w:val="0"/>
        <w:jc w:val="both"/>
        <w:rPr>
          <w:rFonts w:ascii="Times New Roman" w:hAnsi="Times New Roman"/>
          <w:color w:val="000000"/>
          <w:sz w:val="20"/>
        </w:rPr>
      </w:pPr>
      <w:r>
        <w:rPr>
          <w:rFonts w:ascii="Times New Roman" w:hAnsi="Times New Roman"/>
          <w:color w:val="000000"/>
          <w:sz w:val="20"/>
        </w:rPr>
        <w:t xml:space="preserve"># Indicated a management or compensatory plan, contract or arrangement. </w:t>
      </w:r>
    </w:p>
    <w:p>
      <w:pPr>
        <w:pStyle w:val="TextBody"/>
        <w:bidi w:val="0"/>
        <w:jc w:val="both"/>
        <w:rPr>
          <w:rFonts w:ascii="Times New Roman" w:hAnsi="Times New Roman"/>
          <w:sz w:val="20"/>
        </w:rPr>
      </w:pPr>
      <w:r>
        <w:rPr>
          <w:rFonts w:ascii="Times New Roman" w:hAnsi="Times New Roman"/>
          <w:b/>
          <w:color w:val="000000"/>
          <w:sz w:val="20"/>
        </w:rPr>
        <w:t xml:space="preserve">+ </w:t>
      </w:r>
      <w:r>
        <w:rPr>
          <w:rFonts w:ascii="Times New Roman" w:hAnsi="Times New Roman"/>
          <w:color w:val="000000"/>
          <w:sz w:val="20"/>
        </w:rPr>
        <w:t>Confidential treatment has been granted as to certain portions, which portions have been omitted and submitted separately to the SEC.</w:t>
      </w:r>
    </w:p>
    <w:p>
      <w:pPr>
        <w:pStyle w:val="TextBody"/>
        <w:bidi w:val="0"/>
        <w:jc w:val="both"/>
        <w:rPr>
          <w:rFonts w:ascii="Times New Roman" w:hAnsi="Times New Roman"/>
          <w:color w:val="000000"/>
          <w:sz w:val="20"/>
        </w:rPr>
      </w:pPr>
      <w:r>
        <w:rPr>
          <w:rFonts w:ascii="Times New Roman" w:hAnsi="Times New Roman"/>
          <w:color w:val="000000"/>
          <w:sz w:val="20"/>
        </w:rPr>
        <w:t>++ Certain schedules (or similar attachments) have been omitted pursuant to Item 601(a)(5) or Item 601(b)(2) of Regulation S-K. The registrant agrees to furnish copies of such schedules (or similar attachments) to the U.S. Securities and Exchange Commission upon request.</w:t>
      </w:r>
    </w:p>
    <w:p>
      <w:pPr>
        <w:pStyle w:val="TextBody"/>
        <w:bidi w:val="0"/>
        <w:spacing w:before="240" w:after="283"/>
        <w:jc w:val="both"/>
        <w:rPr>
          <w:rFonts w:ascii="Times New Roman" w:hAnsi="Times New Roman"/>
          <w:sz w:val="20"/>
        </w:rPr>
      </w:pPr>
      <w:bookmarkStart w:id="44" w:name="item_16_form_10k_summary"/>
      <w:bookmarkEnd w:id="44"/>
      <w:r>
        <w:rPr>
          <w:rFonts w:ascii="Times New Roman" w:hAnsi="Times New Roman"/>
          <w:b/>
          <w:color w:val="000000"/>
          <w:sz w:val="20"/>
        </w:rPr>
        <w:t>Item 16. Form</w:t>
      </w:r>
      <w:r>
        <w:rPr>
          <w:rFonts w:ascii="Times New Roman" w:hAnsi="Times New Roman"/>
          <w:color w:val="000000"/>
          <w:sz w:val="20"/>
        </w:rPr>
        <w:t xml:space="preserve"> </w:t>
      </w:r>
      <w:r>
        <w:rPr>
          <w:rFonts w:ascii="Times New Roman" w:hAnsi="Times New Roman"/>
          <w:b/>
          <w:color w:val="000000"/>
          <w:sz w:val="20"/>
        </w:rPr>
        <w:t>10-K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5" w:name="signatures"/>
      <w:bookmarkEnd w:id="45"/>
      <w:r>
        <w:rPr>
          <w:rFonts w:ascii="Times New Roman" w:hAnsi="Times New Roman"/>
          <w:b/>
          <w:color w:val="000000"/>
          <w:sz w:val="20"/>
        </w:rPr>
        <w:t>SIGNATURES</w:t>
      </w:r>
    </w:p>
    <w:p>
      <w:pPr>
        <w:pStyle w:val="TextBody"/>
        <w:bidi w:val="0"/>
        <w:spacing w:before="240" w:after="283"/>
        <w:jc w:val="both"/>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6022" w:type="dxa"/>
        <w:jc w:val="left"/>
        <w:tblInd w:w="0" w:type="dxa"/>
        <w:tblLayout w:type="fixed"/>
        <w:tblCellMar>
          <w:top w:w="28" w:type="dxa"/>
          <w:left w:w="28" w:type="dxa"/>
          <w:bottom w:w="28" w:type="dxa"/>
          <w:right w:w="28" w:type="dxa"/>
        </w:tblCellMar>
      </w:tblPr>
      <w:tblGrid>
        <w:gridCol w:w="2086"/>
        <w:gridCol w:w="109"/>
        <w:gridCol w:w="406"/>
        <w:gridCol w:w="342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2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TransMedics Group, Inc.</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Gerardo Hernandez</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Gerardo Hernandez</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Financial Officer and Treasurer</w:t>
            </w:r>
            <w:r>
              <w:rPr>
                <w:rFonts w:ascii="Times New Roman" w:hAnsi="Times New Roman"/>
                <w:color w:val="000000"/>
                <w:sz w:val="20"/>
              </w:rPr>
              <w:t xml:space="preserve">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8110" w:type="dxa"/>
        <w:jc w:val="left"/>
        <w:tblInd w:w="0" w:type="dxa"/>
        <w:tblLayout w:type="fixed"/>
        <w:tblCellMar>
          <w:top w:w="28" w:type="dxa"/>
          <w:left w:w="28" w:type="dxa"/>
          <w:bottom w:w="28" w:type="dxa"/>
          <w:right w:w="28" w:type="dxa"/>
        </w:tblCellMar>
      </w:tblPr>
      <w:tblGrid>
        <w:gridCol w:w="2566"/>
        <w:gridCol w:w="146"/>
        <w:gridCol w:w="3616"/>
        <w:gridCol w:w="146"/>
        <w:gridCol w:w="1636"/>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Waleed H. Hassanein, M.D.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2025</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Waleed H. Hassanein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Gerardo Hernandez</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Chief Financial Officer and Treasurer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2025</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Gerardo Hernandez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James R. Tobin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Chairman of the Board of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2025</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James R. Tobin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Edward M. Basile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2025</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Edward M. Basile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J. Gunderson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2025</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Thomas J. Gunderson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Edwin M. Kania, Jr. </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2025</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Edwin M. Kania,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Weill, M.D.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2025</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David Weill,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Merilee Raines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2025</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Merilee Raines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Stephanie Lovell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27, 2025</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Stephanie Lovell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spacing w:before="240" w:after="240"/>
        <w:jc w:val="left"/>
        <w:rPr/>
      </w:pPr>
      <w:bookmarkStart w:id="46" w:name="tmdx-ex10_41.htm"/>
      <w:bookmarkStart w:id="47" w:name="kstmdxex10_41"/>
      <w:bookmarkEnd w:id="46"/>
      <w:bookmarkEnd w:id="47"/>
      <w:r>
        <w:rPr/>
        <w:t> </w:t>
      </w:r>
      <w:r>
        <w:br w:type="page"/>
      </w:r>
    </w:p>
    <w:p>
      <w:pPr>
        <w:pStyle w:val="TextBody"/>
        <w:bidi w:val="0"/>
        <w:spacing w:before="240" w:after="240"/>
        <w:jc w:val="left"/>
        <w:rPr/>
      </w:pPr>
      <w:r>
        <w:rPr/>
        <w:t> </w:t>
      </w:r>
    </w:p>
    <w:p>
      <w:pPr>
        <w:pStyle w:val="TextBody"/>
        <w:bidi w:val="0"/>
        <w:spacing w:before="240" w:after="240"/>
        <w:jc w:val="right"/>
        <w:rPr>
          <w:rFonts w:ascii="Avenir Next LT Pro;sans-serif" w:hAnsi="Avenir Next LT Pro;sans-serif"/>
          <w:color w:val="4D4D50"/>
          <w:sz w:val="24"/>
        </w:rPr>
      </w:pPr>
      <w:r>
        <w:rPr>
          <w:rFonts w:ascii="Avenir Next LT Pro;sans-serif" w:hAnsi="Avenir Next LT Pro;sans-serif"/>
          <w:color w:val="4D4D50"/>
          <w:sz w:val="24"/>
        </w:rPr>
        <w:t>Exhibit 10.41</w:t>
      </w:r>
    </w:p>
    <w:p>
      <w:pPr>
        <w:pStyle w:val="TextBody"/>
        <w:bidi w:val="0"/>
        <w:jc w:val="left"/>
        <w:rPr>
          <w:rFonts w:ascii="Avenir Next LT Pro;sans-serif" w:hAnsi="Avenir Next LT Pro;sans-serif"/>
          <w:color w:val="000000"/>
          <w:sz w:val="24"/>
        </w:rPr>
      </w:pPr>
      <w:r>
        <w:rPr>
          <w:rFonts w:ascii="Avenir Next LT Pro;sans-serif" w:hAnsi="Avenir Next LT Pro;sans-serif"/>
          <w:color w:val="000000"/>
          <w:sz w:val="24"/>
        </w:rPr>
        <w:t>November 26, 2024</w:t>
      </w:r>
    </w:p>
    <w:p>
      <w:pPr>
        <w:pStyle w:val="TextBody"/>
        <w:bidi w:val="0"/>
        <w:jc w:val="left"/>
        <w:rPr/>
      </w:pPr>
      <w:r>
        <w:rPr/>
        <w:t> </w:t>
      </w:r>
    </w:p>
    <w:p>
      <w:pPr>
        <w:pStyle w:val="TextBody"/>
        <w:bidi w:val="0"/>
        <w:jc w:val="left"/>
        <w:rPr>
          <w:rFonts w:ascii="Avenir Next LT Pro;sans-serif" w:hAnsi="Avenir Next LT Pro;sans-serif"/>
          <w:b/>
          <w:color w:val="000000"/>
          <w:sz w:val="24"/>
          <w:u w:val="single"/>
        </w:rPr>
      </w:pPr>
      <w:r>
        <w:rPr>
          <w:rFonts w:ascii="Avenir Next LT Pro;sans-serif" w:hAnsi="Avenir Next LT Pro;sans-serif"/>
          <w:b/>
          <w:color w:val="000000"/>
          <w:sz w:val="24"/>
          <w:u w:val="single"/>
        </w:rPr>
        <w:t>VIA EMAIL</w:t>
      </w:r>
    </w:p>
    <w:p>
      <w:pPr>
        <w:pStyle w:val="TextBody"/>
        <w:bidi w:val="0"/>
        <w:jc w:val="left"/>
        <w:rPr>
          <w:rFonts w:ascii="Avenir Next LT Pro;sans-serif" w:hAnsi="Avenir Next LT Pro;sans-serif"/>
          <w:color w:val="000000"/>
          <w:sz w:val="24"/>
        </w:rPr>
      </w:pPr>
      <w:r>
        <w:rPr>
          <w:rFonts w:ascii="Avenir Next LT Pro;sans-serif" w:hAnsi="Avenir Next LT Pro;sans-serif"/>
          <w:color w:val="000000"/>
          <w:sz w:val="24"/>
        </w:rPr>
        <w:t>Stephen Gordon</w:t>
      </w:r>
    </w:p>
    <w:p>
      <w:pPr>
        <w:pStyle w:val="TextBody"/>
        <w:bidi w:val="0"/>
        <w:spacing w:before="240" w:after="240"/>
        <w:jc w:val="left"/>
        <w:rPr/>
      </w:pPr>
      <w:r>
        <w:rPr/>
        <w:t> </w:t>
      </w:r>
    </w:p>
    <w:p>
      <w:pPr>
        <w:pStyle w:val="TextBody"/>
        <w:bidi w:val="0"/>
        <w:spacing w:before="240" w:after="240"/>
        <w:jc w:val="left"/>
        <w:rPr>
          <w:rFonts w:ascii="Avenir Next LT Pro;sans-serif" w:hAnsi="Avenir Next LT Pro;sans-serif"/>
          <w:color w:val="000000"/>
          <w:sz w:val="24"/>
        </w:rPr>
      </w:pPr>
      <w:r>
        <w:rPr>
          <w:rFonts w:ascii="Avenir Next LT Pro;sans-serif" w:hAnsi="Avenir Next LT Pro;sans-serif"/>
          <w:color w:val="000000"/>
          <w:sz w:val="24"/>
        </w:rPr>
        <w:t>Dear Stephen:</w:t>
      </w:r>
    </w:p>
    <w:p>
      <w:pPr>
        <w:pStyle w:val="TextBody"/>
        <w:bidi w:val="0"/>
        <w:spacing w:before="240" w:after="240"/>
        <w:jc w:val="left"/>
        <w:rPr>
          <w:rFonts w:ascii="Times New Roman" w:hAnsi="Times New Roman"/>
          <w:sz w:val="20"/>
        </w:rPr>
      </w:pPr>
      <w:r>
        <w:rPr>
          <w:rFonts w:ascii="Avenir Next LT Pro;sans-serif" w:hAnsi="Avenir Next LT Pro;sans-serif"/>
          <w:color w:val="000000"/>
          <w:sz w:val="24"/>
        </w:rPr>
        <w:t>This letter agreement (this “Agreement”) confirms the terms of the remainder of your employment with TransMedics, Inc. (the “Company”) and your engagement as a consultant by the Company, as follows:</w:t>
      </w:r>
      <w:r>
        <w:rPr>
          <w:rFonts w:ascii="Times New Roman" w:hAnsi="Times New Roman"/>
          <w:color w:val="000000"/>
          <w:sz w:val="20"/>
        </w:rPr>
        <w:t xml:space="preserve"> </w:t>
      </w:r>
    </w:p>
    <w:p>
      <w:pPr>
        <w:pStyle w:val="TextBody"/>
        <w:bidi w:val="0"/>
        <w:spacing w:before="240" w:after="240"/>
        <w:jc w:val="left"/>
        <w:rPr>
          <w:rFonts w:ascii="Avenir Next LT Pro" w:hAnsi="Avenir Next LT Pro"/>
          <w:b/>
          <w:color w:val="000000"/>
          <w:sz w:val="24"/>
        </w:rPr>
      </w:pPr>
      <w:r>
        <w:rPr>
          <w:rFonts w:ascii="Avenir Next LT Pro" w:hAnsi="Avenir Next LT Pro"/>
          <w:b/>
          <w:color w:val="000000"/>
          <w:sz w:val="24"/>
        </w:rPr>
        <w:t>1.</w:t>
      </w:r>
    </w:p>
    <w:p>
      <w:pPr>
        <w:pStyle w:val="TextBody"/>
        <w:bidi w:val="0"/>
        <w:spacing w:before="240" w:after="240"/>
        <w:jc w:val="left"/>
        <w:rPr>
          <w:rFonts w:ascii="Avenir Next LT Pro;sans-serif" w:hAnsi="Avenir Next LT Pro;sans-serif"/>
          <w:b/>
          <w:color w:val="000000"/>
          <w:sz w:val="24"/>
        </w:rPr>
      </w:pPr>
      <w:r>
        <w:rPr>
          <w:rFonts w:ascii="Avenir Next LT Pro;sans-serif" w:hAnsi="Avenir Next LT Pro;sans-serif"/>
          <w:b/>
          <w:color w:val="000000"/>
          <w:sz w:val="24"/>
        </w:rPr>
        <w:t>Transition Period.</w:t>
      </w:r>
    </w:p>
    <w:p>
      <w:pPr>
        <w:pStyle w:val="TextBody"/>
        <w:bidi w:val="0"/>
        <w:spacing w:before="240" w:after="240"/>
        <w:jc w:val="left"/>
        <w:rPr/>
      </w:pPr>
      <w:r>
        <w:rPr/>
        <w:t>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a.</w:t>
      </w:r>
    </w:p>
    <w:p>
      <w:pPr>
        <w:pStyle w:val="TextBody"/>
        <w:bidi w:val="0"/>
        <w:spacing w:before="240" w:after="240"/>
        <w:jc w:val="left"/>
        <w:rPr/>
      </w:pPr>
      <w:r>
        <w:rPr>
          <w:rFonts w:ascii="Avenir Next LT Pro;sans-serif" w:hAnsi="Avenir Next LT Pro;sans-serif"/>
          <w:color w:val="000000"/>
          <w:sz w:val="24"/>
          <w:u w:val="single"/>
        </w:rPr>
        <w:t>Transition.</w:t>
      </w:r>
      <w:r>
        <w:rPr>
          <w:color w:val="000000"/>
        </w:rPr>
        <w:t xml:space="preserve"> </w:t>
      </w:r>
      <w:r>
        <w:rPr>
          <w:rFonts w:ascii="Avenir Next LT Pro;sans-serif" w:hAnsi="Avenir Next LT Pro;sans-serif"/>
          <w:color w:val="000000"/>
          <w:sz w:val="24"/>
        </w:rPr>
        <w:t>Subject to earlier termination as provided herein, from the date hereof through December 2, 2024 (the “</w:t>
      </w:r>
      <w:r>
        <w:rPr>
          <w:rFonts w:ascii="Avenir Next LT Pro;sans-serif" w:hAnsi="Avenir Next LT Pro;sans-serif"/>
          <w:color w:val="000000"/>
          <w:sz w:val="24"/>
          <w:u w:val="single"/>
        </w:rPr>
        <w:t>Transition Date</w:t>
      </w:r>
      <w:r>
        <w:rPr>
          <w:color w:val="000000"/>
        </w:rPr>
        <w:t>”</w:t>
      </w:r>
      <w:r>
        <w:rPr>
          <w:rFonts w:ascii="Avenir Next LT Pro;sans-serif" w:hAnsi="Avenir Next LT Pro;sans-serif"/>
          <w:color w:val="000000"/>
          <w:sz w:val="24"/>
        </w:rPr>
        <w:t>) you will continue to serve as the Company’s Chief Financial Officer and, from the Transition Date until March 31, 2025 you will serve as a non-executive employee of the Company. It is expected that your employment with the Company will terminate at the close of business on March 31, 2025 (the actual date of your termination of employment, the “</w:t>
      </w:r>
      <w:r>
        <w:rPr>
          <w:rFonts w:ascii="Avenir Next LT Pro;sans-serif" w:hAnsi="Avenir Next LT Pro;sans-serif"/>
          <w:color w:val="000000"/>
          <w:sz w:val="24"/>
          <w:u w:val="single"/>
        </w:rPr>
        <w:t>Separation Date</w:t>
      </w:r>
      <w:r>
        <w:rPr>
          <w:color w:val="000000"/>
        </w:rPr>
        <w:t>”</w:t>
      </w:r>
      <w:r>
        <w:rPr>
          <w:rFonts w:ascii="Avenir Next LT Pro;sans-serif" w:hAnsi="Avenir Next LT Pro;sans-serif"/>
          <w:color w:val="000000"/>
          <w:sz w:val="24"/>
        </w:rPr>
        <w:t>). From the date hereof until the Separation Date, your current terms of employment, including the Executive Retention Agreement between you and the Company, dated March 23, 2015, as amended by the Amendment to Executive Retention Agreement, dated April 10, 2020 (the “</w:t>
      </w:r>
      <w:r>
        <w:rPr>
          <w:rFonts w:ascii="Avenir Next LT Pro;sans-serif" w:hAnsi="Avenir Next LT Pro;sans-serif"/>
          <w:color w:val="000000"/>
          <w:sz w:val="24"/>
          <w:u w:val="single"/>
        </w:rPr>
        <w:t>Retention Agreement</w:t>
      </w:r>
      <w:r>
        <w:rPr>
          <w:color w:val="000000"/>
        </w:rPr>
        <w:t>”</w:t>
      </w:r>
      <w:r>
        <w:rPr>
          <w:rFonts w:ascii="Avenir Next LT Pro;sans-serif" w:hAnsi="Avenir Next LT Pro;sans-serif"/>
          <w:color w:val="000000"/>
          <w:sz w:val="24"/>
        </w:rPr>
        <w:t>), shall continue in effect, except as expressly modified by this Agreement. You acknowledge and agree that nothing contained in this Agreement shall give rise to a claim for “Good Reason” (as defined in the Retention Agreement) for purposes of the Retention Agreement or otherwise. On the Transition Date, you will be deemed to resign from your position as Chief Financial Officer of the Company and from any and all: (i) officer positions you hold with the Company or any of its affiliates, if any; (ii) memberships you hold on any boards of directors, boards of managers or other governing boards or bodies of the Company or any of its affiliates, if any; and (iii) memberships you hold on any of the committees of any such boards or bodies. Subject to earlier termination as provided for herein, from the Separation Date through March 31, 2026 (the actual period of such consulting services, the “</w:t>
      </w:r>
      <w:r>
        <w:rPr>
          <w:rFonts w:ascii="Avenir Next LT Pro;sans-serif" w:hAnsi="Avenir Next LT Pro;sans-serif"/>
          <w:color w:val="000000"/>
          <w:sz w:val="24"/>
          <w:u w:val="single"/>
        </w:rPr>
        <w:t>Consulting Period</w:t>
      </w:r>
      <w:r>
        <w:rPr>
          <w:color w:val="000000"/>
        </w:rPr>
        <w:t>”</w:t>
      </w:r>
      <w:r>
        <w:rPr>
          <w:rFonts w:ascii="Avenir Next LT Pro;sans-serif" w:hAnsi="Avenir Next LT Pro;sans-serif"/>
          <w:color w:val="000000"/>
          <w:sz w:val="24"/>
        </w:rPr>
        <w:t>), you will serve as a senior advisor to the Chief Executive Officer of the Company (the “</w:t>
      </w:r>
      <w:r>
        <w:rPr>
          <w:rFonts w:ascii="Avenir Next LT Pro;sans-serif" w:hAnsi="Avenir Next LT Pro;sans-serif"/>
          <w:color w:val="000000"/>
          <w:sz w:val="24"/>
          <w:u w:val="single"/>
        </w:rPr>
        <w:t>CEO</w:t>
      </w:r>
      <w:r>
        <w:rPr>
          <w:color w:val="000000"/>
        </w:rPr>
        <w:t>”</w:t>
      </w:r>
      <w:r>
        <w:rPr>
          <w:rFonts w:ascii="Avenir Next LT Pro;sans-serif" w:hAnsi="Avenir Next LT Pro;sans-serif"/>
          <w:color w:val="000000"/>
          <w:sz w:val="24"/>
        </w:rPr>
        <w:t xml:space="preserve">), as a non-employee consultant to the Company, on the terms and conditions set forth in this Agreement.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b.</w:t>
      </w:r>
    </w:p>
    <w:p>
      <w:pPr>
        <w:pStyle w:val="TextBody"/>
        <w:bidi w:val="0"/>
        <w:spacing w:before="240" w:after="240"/>
        <w:jc w:val="left"/>
        <w:rPr/>
      </w:pPr>
      <w:r>
        <w:rPr>
          <w:rFonts w:ascii="Avenir Next LT Pro;sans-serif" w:hAnsi="Avenir Next LT Pro;sans-serif"/>
          <w:color w:val="000000"/>
          <w:sz w:val="24"/>
          <w:u w:val="single"/>
        </w:rPr>
        <w:t>Duties and Responsibilities.</w:t>
      </w:r>
      <w:r>
        <w:rPr>
          <w:color w:val="000000"/>
        </w:rPr>
        <w:t xml:space="preserve"> </w:t>
      </w:r>
      <w:r>
        <w:rPr>
          <w:rFonts w:ascii="Avenir Next LT Pro;sans-serif" w:hAnsi="Avenir Next LT Pro;sans-serif"/>
          <w:color w:val="000000"/>
          <w:sz w:val="24"/>
        </w:rPr>
        <w:t xml:space="preserve">From the date hereof until the Transition Date, you will continue to perform your current duties and from the Transition Date until the Separation Date, you will perform such duties as may be assigned to you from time to time by the CEO or his designee. You will at all times continue to devote your best professional efforts to the Company, and to abide by all Company policies and procedures as in effect from time to time. </w:t>
      </w:r>
    </w:p>
    <w:p>
      <w:pPr>
        <w:pStyle w:val="TextBody"/>
        <w:bidi w:val="0"/>
        <w:spacing w:before="240" w:after="240"/>
        <w:jc w:val="left"/>
        <w:rPr/>
      </w:pPr>
      <w:r>
        <w:rPr/>
        <w:t>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c.</w:t>
      </w:r>
    </w:p>
    <w:p>
      <w:pPr>
        <w:pStyle w:val="TextBody"/>
        <w:bidi w:val="0"/>
        <w:spacing w:before="240" w:after="240"/>
        <w:jc w:val="left"/>
        <w:rPr/>
      </w:pPr>
      <w:r>
        <w:rPr>
          <w:rFonts w:ascii="Avenir Next LT Pro;sans-serif" w:hAnsi="Avenir Next LT Pro;sans-serif"/>
          <w:color w:val="000000"/>
          <w:sz w:val="24"/>
          <w:u w:val="single"/>
        </w:rPr>
        <w:t>Compensation, Benefits and Reimbursements.</w:t>
      </w:r>
      <w:r>
        <w:rPr>
          <w:color w:val="000000"/>
        </w:rPr>
        <w:t xml:space="preserve"> </w:t>
      </w:r>
      <w:r>
        <w:rPr>
          <w:rFonts w:ascii="Avenir Next LT Pro;sans-serif" w:hAnsi="Avenir Next LT Pro;sans-serif"/>
          <w:color w:val="000000"/>
          <w:sz w:val="24"/>
        </w:rPr>
        <w:t xml:space="preserve">From the date hereof until the Separation Date, you will continue to receive your base salary, payable at the rate in effect as of the date hereof ($477,000 per year) and in accordance with the Company’s regular payroll practices, and to participate in all employee benefit plans and programs of the Company in accordance with the terms of those plans and programs. Notwithstanding any requirement that you remain employed on the date that annual bonuses are paid to employees of the Company, you will receive an annual bonus in respect of the Company’s 2024 fiscal year, to the extent earned based on actual achievement of the performance objectives established by the Compensation Committee of the Board of Directors of the Company and payable at the same time as bonuses are generally paid to other executives of the Company using the same multiple used for the other members of the C-suite. In addition, for so long as you are employed or providing services to the Company hereunder, the Company will pay or reimburse you, in accordance with the Company’s reimbursements procedures and practices in effect from time to time, for all reasonable business expenses incurred by you in the performance of your duties and responsibilities to the Company; </w:t>
      </w:r>
      <w:r>
        <w:rPr>
          <w:rFonts w:ascii="Avenir Next LT Pro;sans-serif" w:hAnsi="Avenir Next LT Pro;sans-serif"/>
          <w:color w:val="000000"/>
          <w:sz w:val="24"/>
          <w:u w:val="single"/>
        </w:rPr>
        <w:t xml:space="preserve">provided </w:t>
      </w:r>
      <w:r>
        <w:rPr>
          <w:rFonts w:ascii="Avenir Next LT Pro;sans-serif" w:hAnsi="Avenir Next LT Pro;sans-serif"/>
          <w:color w:val="000000"/>
          <w:sz w:val="24"/>
        </w:rPr>
        <w:t>that you submit on a timely basis such documentation and substantiation of those expenses as the Company may require from time to time. For the avoidance of doubt, you will not be eligible to receive an annual bonus in respect of the Company’s 2025 fiscal year.</w:t>
      </w:r>
    </w:p>
    <w:p>
      <w:pPr>
        <w:pStyle w:val="TextBody"/>
        <w:bidi w:val="0"/>
        <w:spacing w:before="240" w:after="240"/>
        <w:jc w:val="left"/>
        <w:rPr/>
      </w:pPr>
      <w:r>
        <w:rPr/>
        <w:t>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d.</w:t>
      </w:r>
    </w:p>
    <w:p>
      <w:pPr>
        <w:pStyle w:val="TextBody"/>
        <w:bidi w:val="0"/>
        <w:spacing w:before="240" w:after="240"/>
        <w:jc w:val="left"/>
        <w:rPr/>
      </w:pPr>
      <w:r>
        <w:rPr>
          <w:rFonts w:ascii="Avenir Next LT Pro;sans-serif" w:hAnsi="Avenir Next LT Pro;sans-serif"/>
          <w:color w:val="000000"/>
          <w:sz w:val="24"/>
          <w:u w:val="single"/>
        </w:rPr>
        <w:t>Equity Awards.</w:t>
      </w:r>
      <w:r>
        <w:rPr>
          <w:color w:val="000000"/>
        </w:rPr>
        <w:t xml:space="preserve"> </w:t>
      </w:r>
      <w:r>
        <w:rPr>
          <w:rFonts w:ascii="Avenir Next LT Pro;sans-serif" w:hAnsi="Avenir Next LT Pro;sans-serif"/>
          <w:color w:val="000000"/>
          <w:sz w:val="24"/>
          <w:u w:val="single"/>
        </w:rPr>
        <w:t>Exhibit A</w:t>
      </w:r>
      <w:r>
        <w:rPr>
          <w:color w:val="000000"/>
        </w:rPr>
        <w:t xml:space="preserve"> </w:t>
      </w:r>
      <w:r>
        <w:rPr>
          <w:rFonts w:ascii="Avenir Next LT Pro;sans-serif" w:hAnsi="Avenir Next LT Pro;sans-serif"/>
          <w:color w:val="000000"/>
          <w:sz w:val="24"/>
        </w:rPr>
        <w:t>hereto sets forth a list of all outstanding stock options and restricted stock units previously granted to you by the Company (the “</w:t>
      </w:r>
      <w:r>
        <w:rPr>
          <w:rFonts w:ascii="Avenir Next LT Pro;sans-serif" w:hAnsi="Avenir Next LT Pro;sans-serif"/>
          <w:color w:val="000000"/>
          <w:sz w:val="24"/>
          <w:u w:val="single"/>
        </w:rPr>
        <w:t>Equity Awards</w:t>
      </w:r>
      <w:r>
        <w:rPr>
          <w:color w:val="000000"/>
        </w:rPr>
        <w:t>”</w:t>
      </w:r>
      <w:r>
        <w:rPr>
          <w:rFonts w:ascii="Avenir Next LT Pro;sans-serif" w:hAnsi="Avenir Next LT Pro;sans-serif"/>
          <w:color w:val="000000"/>
          <w:sz w:val="24"/>
        </w:rPr>
        <w:t>). All outstanding Equity Awards will continue to vest in accordance with their terms, as set forth in the Company’s Amended and Restated 2019 Stock Incentive Plan and the award agreements between you and the Company evidencing such awards (collectively, the “</w:t>
      </w:r>
      <w:r>
        <w:rPr>
          <w:rFonts w:ascii="Avenir Next LT Pro;sans-serif" w:hAnsi="Avenir Next LT Pro;sans-serif"/>
          <w:color w:val="000000"/>
          <w:sz w:val="24"/>
          <w:u w:val="single"/>
        </w:rPr>
        <w:t>Equity Documents</w:t>
      </w:r>
      <w:r>
        <w:rPr>
          <w:color w:val="000000"/>
        </w:rPr>
        <w:t>”</w:t>
      </w:r>
      <w:r>
        <w:rPr>
          <w:rFonts w:ascii="Avenir Next LT Pro;sans-serif" w:hAnsi="Avenir Next LT Pro;sans-serif"/>
          <w:color w:val="000000"/>
          <w:sz w:val="24"/>
        </w:rPr>
        <w:t xml:space="preserve">), from the date hereof until the end of the Consulting Period and your stock options, to the extent vested and exercisable, will remain outstanding and exercisable for a period of three (3) months following the end of the Consulting Period (but not later than the original term of such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rFonts w:ascii="Avenir Next LT Pro;sans-serif" w:hAnsi="Avenir Next LT Pro;sans-serif"/>
          <w:color w:val="000000"/>
          <w:sz w:val="24"/>
        </w:rPr>
        <w:t>stock options). All Equity Awards that are outstanding and unvested as of the last day of the Consulting Period will be forfeited on such date.</w:t>
      </w:r>
      <w:r>
        <w:rPr>
          <w:color w:val="000000"/>
        </w:rPr>
        <w:t xml:space="preserve"> </w:t>
      </w:r>
    </w:p>
    <w:p>
      <w:pPr>
        <w:pStyle w:val="TextBody"/>
        <w:bidi w:val="0"/>
        <w:spacing w:before="240" w:after="240"/>
        <w:jc w:val="left"/>
        <w:rPr/>
      </w:pPr>
      <w:r>
        <w:rPr/>
        <w:t> </w:t>
      </w:r>
    </w:p>
    <w:p>
      <w:pPr>
        <w:pStyle w:val="TextBody"/>
        <w:bidi w:val="0"/>
        <w:spacing w:before="240" w:after="240"/>
        <w:jc w:val="left"/>
        <w:rPr>
          <w:rFonts w:ascii="Avenir Next LT Pro" w:hAnsi="Avenir Next LT Pro"/>
          <w:b/>
          <w:color w:val="000000"/>
          <w:sz w:val="24"/>
        </w:rPr>
      </w:pPr>
      <w:r>
        <w:rPr>
          <w:rFonts w:ascii="Avenir Next LT Pro" w:hAnsi="Avenir Next LT Pro"/>
          <w:b/>
          <w:color w:val="000000"/>
          <w:sz w:val="24"/>
        </w:rPr>
        <w:t>2.</w:t>
      </w:r>
    </w:p>
    <w:p>
      <w:pPr>
        <w:pStyle w:val="TextBody"/>
        <w:bidi w:val="0"/>
        <w:spacing w:before="240" w:after="240"/>
        <w:jc w:val="left"/>
        <w:rPr>
          <w:rFonts w:ascii="Avenir Next LT Pro;sans-serif" w:hAnsi="Avenir Next LT Pro;sans-serif"/>
          <w:b/>
          <w:color w:val="000000"/>
          <w:sz w:val="24"/>
        </w:rPr>
      </w:pPr>
      <w:r>
        <w:rPr>
          <w:rFonts w:ascii="Avenir Next LT Pro;sans-serif" w:hAnsi="Avenir Next LT Pro;sans-serif"/>
          <w:b/>
          <w:color w:val="000000"/>
          <w:sz w:val="24"/>
        </w:rPr>
        <w:t>Employment Termination.</w:t>
      </w:r>
    </w:p>
    <w:p>
      <w:pPr>
        <w:pStyle w:val="TextBody"/>
        <w:bidi w:val="0"/>
        <w:spacing w:before="240" w:after="240"/>
        <w:jc w:val="left"/>
        <w:rPr/>
      </w:pPr>
      <w:r>
        <w:rPr/>
        <w:t>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a.</w:t>
      </w:r>
    </w:p>
    <w:p>
      <w:pPr>
        <w:pStyle w:val="TextBody"/>
        <w:bidi w:val="0"/>
        <w:spacing w:before="240" w:after="240"/>
        <w:jc w:val="left"/>
        <w:rPr/>
      </w:pPr>
      <w:r>
        <w:rPr>
          <w:rFonts w:ascii="Avenir Next LT Pro;sans-serif" w:hAnsi="Avenir Next LT Pro;sans-serif"/>
          <w:color w:val="000000"/>
          <w:sz w:val="24"/>
          <w:u w:val="single"/>
        </w:rPr>
        <w:t>Resignation.</w:t>
      </w:r>
      <w:r>
        <w:rPr>
          <w:color w:val="000000"/>
        </w:rPr>
        <w:t xml:space="preserve"> </w:t>
      </w:r>
      <w:r>
        <w:rPr>
          <w:rFonts w:ascii="Avenir Next LT Pro;sans-serif" w:hAnsi="Avenir Next LT Pro;sans-serif"/>
          <w:color w:val="000000"/>
          <w:sz w:val="24"/>
        </w:rPr>
        <w:t xml:space="preserve">On the Transition Date, you will be deemed to resign your position as Chief Financial Officer of the Company and all other positions you hold with the Company, as provided under Section 1(a) of this Agreement, provided that you will continue to serve as a non-executive employee of the Company through the Separation Date. </w:t>
      </w:r>
    </w:p>
    <w:p>
      <w:pPr>
        <w:pStyle w:val="TextBody"/>
        <w:bidi w:val="0"/>
        <w:spacing w:before="240" w:after="240"/>
        <w:jc w:val="left"/>
        <w:rPr/>
      </w:pPr>
      <w:r>
        <w:rPr/>
        <w:t>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b.</w:t>
      </w:r>
    </w:p>
    <w:p>
      <w:pPr>
        <w:pStyle w:val="TextBody"/>
        <w:bidi w:val="0"/>
        <w:spacing w:before="240" w:after="240"/>
        <w:jc w:val="left"/>
        <w:rPr/>
      </w:pPr>
      <w:r>
        <w:rPr>
          <w:rFonts w:ascii="Avenir Next LT Pro;sans-serif" w:hAnsi="Avenir Next LT Pro;sans-serif"/>
          <w:color w:val="000000"/>
          <w:sz w:val="24"/>
          <w:u w:val="single"/>
        </w:rPr>
        <w:t>Final Compensation</w:t>
      </w:r>
      <w:r>
        <w:rPr>
          <w:rFonts w:ascii="Avenir Next LT Pro;sans-serif" w:hAnsi="Avenir Next LT Pro;sans-serif"/>
          <w:color w:val="000000"/>
          <w:sz w:val="24"/>
        </w:rPr>
        <w:t xml:space="preserve">. You will receive, on the Separation Date, pay for all work you performed for the Company through the Separation Date, to the extent not previously paid. You will receive the payments described in this Section 2(b) regardless of whether or not you sign this Agreement. </w:t>
      </w:r>
    </w:p>
    <w:p>
      <w:pPr>
        <w:pStyle w:val="TextBody"/>
        <w:bidi w:val="0"/>
        <w:spacing w:before="240" w:after="240"/>
        <w:jc w:val="left"/>
        <w:rPr/>
      </w:pPr>
      <w:r>
        <w:rPr/>
        <w:t>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c.</w:t>
      </w:r>
    </w:p>
    <w:p>
      <w:pPr>
        <w:pStyle w:val="TextBody"/>
        <w:bidi w:val="0"/>
        <w:spacing w:before="240" w:after="240"/>
        <w:jc w:val="left"/>
        <w:rPr/>
      </w:pPr>
      <w:r>
        <w:rPr>
          <w:rFonts w:ascii="Avenir Next LT Pro;sans-serif" w:hAnsi="Avenir Next LT Pro;sans-serif"/>
          <w:color w:val="000000"/>
          <w:sz w:val="24"/>
          <w:u w:val="single"/>
        </w:rPr>
        <w:t>Severance Benefits.</w:t>
      </w:r>
      <w:r>
        <w:rPr>
          <w:color w:val="000000"/>
        </w:rPr>
        <w:t xml:space="preserve"> </w:t>
      </w:r>
      <w:r>
        <w:rPr>
          <w:rFonts w:ascii="Avenir Next LT Pro;sans-serif" w:hAnsi="Avenir Next LT Pro;sans-serif"/>
          <w:color w:val="000000"/>
          <w:sz w:val="24"/>
        </w:rPr>
        <w:t xml:space="preserve">In consideration of your acceptance (without subsequent revocation) of this Agreement and subject to your meeting in full your obligations under it, including your obligation to execute and not revoke a post-employment general release and waiver of claims in the form attached hereto as </w:t>
      </w:r>
      <w:r>
        <w:rPr>
          <w:rFonts w:ascii="Avenir Next LT Pro;sans-serif" w:hAnsi="Avenir Next LT Pro;sans-serif"/>
          <w:color w:val="000000"/>
          <w:sz w:val="24"/>
          <w:u w:val="single"/>
        </w:rPr>
        <w:t>Exhibit B</w:t>
      </w:r>
      <w:r>
        <w:rPr>
          <w:color w:val="000000"/>
        </w:rPr>
        <w:t xml:space="preserve"> </w:t>
      </w:r>
      <w:r>
        <w:rPr>
          <w:rFonts w:ascii="Avenir Next LT Pro;sans-serif" w:hAnsi="Avenir Next LT Pro;sans-serif"/>
          <w:color w:val="000000"/>
          <w:sz w:val="24"/>
        </w:rPr>
        <w:t>(the “</w:t>
      </w:r>
      <w:r>
        <w:rPr>
          <w:rFonts w:ascii="Avenir Next LT Pro;sans-serif" w:hAnsi="Avenir Next LT Pro;sans-serif"/>
          <w:color w:val="000000"/>
          <w:sz w:val="24"/>
          <w:u w:val="single"/>
        </w:rPr>
        <w:t>Release</w:t>
      </w:r>
      <w:r>
        <w:rPr>
          <w:color w:val="000000"/>
        </w:rPr>
        <w:t>”</w:t>
      </w:r>
      <w:r>
        <w:rPr>
          <w:rFonts w:ascii="Avenir Next LT Pro;sans-serif" w:hAnsi="Avenir Next LT Pro;sans-serif"/>
          <w:color w:val="000000"/>
          <w:sz w:val="24"/>
        </w:rPr>
        <w:t>) within the time period specified therein (but in no event prior to the Separation Date) and, if requested by the Company, again within seven (7) days following the end of the Consulting Period, and your compliance with the Restrictive Covenants (as defined below) and in full consideration of (and in lieu of) any rights you may have under the Retention Agreement or any other severance arrangement:</w:t>
      </w:r>
    </w:p>
    <w:p>
      <w:pPr>
        <w:pStyle w:val="TextBody"/>
        <w:bidi w:val="0"/>
        <w:spacing w:before="240" w:after="240"/>
        <w:jc w:val="left"/>
        <w:rPr/>
      </w:pPr>
      <w:r>
        <w:rPr/>
        <w:t>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i.</w:t>
      </w:r>
    </w:p>
    <w:p>
      <w:pPr>
        <w:pStyle w:val="TextBody"/>
        <w:bidi w:val="0"/>
        <w:spacing w:before="240" w:after="240"/>
        <w:jc w:val="left"/>
        <w:rPr/>
      </w:pPr>
      <w:r>
        <w:rPr>
          <w:rFonts w:ascii="Avenir Next LT Pro;sans-serif" w:hAnsi="Avenir Next LT Pro;sans-serif"/>
          <w:color w:val="000000"/>
          <w:sz w:val="24"/>
        </w:rPr>
        <w:t>The Company will pay you an amount equal to (x) your base salary, at the rate of pay set forth in Section 1(c) above, plus (y) your highest annual bonus during the three (3)-year period prior to the Separation Date, payable in substantially equal installments over a period of the first twelve (12) months following the Separation Date (the “</w:t>
      </w:r>
      <w:r>
        <w:rPr>
          <w:rFonts w:ascii="Avenir Next LT Pro;sans-serif" w:hAnsi="Avenir Next LT Pro;sans-serif"/>
          <w:color w:val="000000"/>
          <w:sz w:val="24"/>
          <w:u w:val="single"/>
        </w:rPr>
        <w:t>Severance Payments</w:t>
      </w:r>
      <w:r>
        <w:rPr>
          <w:color w:val="000000"/>
        </w:rPr>
        <w:t>”</w:t>
      </w:r>
      <w:r>
        <w:rPr>
          <w:rFonts w:ascii="Avenir Next LT Pro;sans-serif" w:hAnsi="Avenir Next LT Pro;sans-serif"/>
          <w:color w:val="000000"/>
          <w:sz w:val="24"/>
        </w:rPr>
        <w:t>). The Severance Payments will be made in the form of salary continuation, and will begin on the next regular Company payday which is at least five (5) business days following the later of the effective date of the Release or the date it is received by the Company. The first payment will be retroactive to the day following the Separation Date.</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ii.</w:t>
      </w:r>
    </w:p>
    <w:p>
      <w:pPr>
        <w:pStyle w:val="TextBody"/>
        <w:bidi w:val="0"/>
        <w:spacing w:before="240" w:after="240"/>
        <w:jc w:val="left"/>
        <w:rPr>
          <w:rFonts w:ascii="Avenir Next LT Pro;sans-serif" w:hAnsi="Avenir Next LT Pro;sans-serif"/>
          <w:color w:val="000000"/>
          <w:sz w:val="24"/>
        </w:rPr>
      </w:pPr>
      <w:r>
        <w:rPr>
          <w:rFonts w:ascii="Avenir Next LT Pro;sans-serif" w:hAnsi="Avenir Next LT Pro;sans-serif"/>
          <w:color w:val="000000"/>
          <w:sz w:val="24"/>
        </w:rPr>
        <w:t>If unpaid as of the Separation Date, you will receive an annual bonus in respect of the Company’s 2024 fiscal year, to the extent earned based on actual achievement of the performance objectives established by the Compensation Committee of the Board of Directors of the Company and payable at the same time as bonuses are generally paid to other executives of the Company using the same multiple used for the other members of the C-suite.</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iii.</w:t>
      </w:r>
    </w:p>
    <w:p>
      <w:pPr>
        <w:pStyle w:val="TextBody"/>
        <w:bidi w:val="0"/>
        <w:spacing w:before="240" w:after="240"/>
        <w:jc w:val="left"/>
        <w:rPr/>
      </w:pPr>
      <w:r>
        <w:rPr>
          <w:rFonts w:ascii="Avenir Next LT Pro;sans-serif" w:hAnsi="Avenir Next LT Pro;sans-serif"/>
          <w:color w:val="000000"/>
          <w:sz w:val="24"/>
        </w:rPr>
        <w:t>If you are enrolled in the Company’s group medical, dental and/or vision plans on the Separation Date, you may elect to continue your participation and that of your eligible dependents in those plans for a period of time pursuant to the federal law known as “COBRA” or similar applicable state law (together, “</w:t>
      </w:r>
      <w:r>
        <w:rPr>
          <w:rFonts w:ascii="Avenir Next LT Pro;sans-serif" w:hAnsi="Avenir Next LT Pro;sans-serif"/>
          <w:color w:val="000000"/>
          <w:sz w:val="24"/>
          <w:u w:val="single"/>
        </w:rPr>
        <w:t>COBRA</w:t>
      </w:r>
      <w:r>
        <w:rPr>
          <w:color w:val="000000"/>
        </w:rPr>
        <w:t>”</w:t>
      </w:r>
      <w:r>
        <w:rPr>
          <w:rFonts w:ascii="Avenir Next LT Pro;sans-serif" w:hAnsi="Avenir Next LT Pro;sans-serif"/>
          <w:color w:val="000000"/>
          <w:sz w:val="24"/>
        </w:rPr>
        <w:t>). You may make such an election whether or not you accept this Agreement. However, if you accept this Agreement and execute (and do not revoke) the Release, you timely elect to continue your participation and that of your eligible dependents in such plans, the Company will pay for the monthly cost of such COBRA continuation coverage for the Company’s group medical, dental and/or vision insurance premiums (as applicable), with such continuation on the same basis as in effective for active employees with the same coverage (the “Monthly Premium Payment”), until the earliest of (i) the end of the eighteen (18)-month period following the Separation Date, (ii) the date you and your dependents are no longer entitled to coverage under COBRA or the Company’s plans, or (iii) the date on which you become reemployed with another employer and are eligible to receive group health insurance from such employer on terms at least as favorable to you and your eligible dependents as those being provided by the Company. Monthly Premiums Payments will begin on the next regular Company payday which is at least five (5) business days following the later of the effective date of the Release or the date it is received by the Company. The first payment will be retroactive to the day following the Separation Date. Notwithstanding the foregoing, in the event that the Company’s payment of the Monthly Premium Payments, as described in this Section would subject the Company to any tax or penalty under Section 105(h) of the Internal Revenue Code of 1986, as amended (the “Code”), the Patient Protection and Affordable Care Act, as amended, any regulations or guidance issued thereunder, or any other applicable law, in each case, as determined by the Company, then the Company will not be required to provide the Monthly Premium Payments.</w:t>
      </w:r>
    </w:p>
    <w:p>
      <w:pPr>
        <w:pStyle w:val="TextBody"/>
        <w:bidi w:val="0"/>
        <w:spacing w:before="240" w:after="240"/>
        <w:jc w:val="left"/>
        <w:rPr/>
      </w:pPr>
      <w:r>
        <w:rPr/>
        <w:t>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d.</w:t>
      </w:r>
    </w:p>
    <w:p>
      <w:pPr>
        <w:pStyle w:val="TextBody"/>
        <w:bidi w:val="0"/>
        <w:spacing w:before="240" w:after="240"/>
        <w:jc w:val="left"/>
        <w:rPr/>
      </w:pPr>
      <w:r>
        <w:rPr>
          <w:rFonts w:ascii="Avenir Next LT Pro;sans-serif" w:hAnsi="Avenir Next LT Pro;sans-serif"/>
          <w:color w:val="000000"/>
          <w:sz w:val="24"/>
          <w:u w:val="single"/>
        </w:rPr>
        <w:t>Employee Benefits.</w:t>
      </w:r>
      <w:r>
        <w:rPr>
          <w:color w:val="000000"/>
        </w:rPr>
        <w:t xml:space="preserve"> </w:t>
      </w:r>
      <w:r>
        <w:rPr>
          <w:rFonts w:ascii="Avenir Next LT Pro;sans-serif" w:hAnsi="Avenir Next LT Pro;sans-serif"/>
          <w:color w:val="000000"/>
          <w:sz w:val="24"/>
        </w:rPr>
        <w:t>Except for any right you may have to continue your participation and that of your eligible dependents in the Company’s medical, dental, and vision plans under COBRA and except as provided for in Section 2(c) of this Agreement, your participation in all employee benefit plans of the Company will end as of the Separation Date (or, as applicable, as of the end of the month in which the Separation Date occurs), in accordance with the terms of those plans. You will receive information about your COBRA continuation rights under separate cover.</w:t>
      </w:r>
    </w:p>
    <w:p>
      <w:pPr>
        <w:pStyle w:val="TextBody"/>
        <w:bidi w:val="0"/>
        <w:spacing w:before="240" w:after="240"/>
        <w:jc w:val="left"/>
        <w:rPr/>
      </w:pPr>
      <w:r>
        <w:rPr/>
        <w:t>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e.</w:t>
      </w:r>
    </w:p>
    <w:p>
      <w:pPr>
        <w:pStyle w:val="TextBody"/>
        <w:bidi w:val="0"/>
        <w:spacing w:before="240" w:after="240"/>
        <w:jc w:val="left"/>
        <w:rPr/>
      </w:pPr>
      <w:r>
        <w:rPr>
          <w:rFonts w:ascii="Avenir Next LT Pro;sans-serif" w:hAnsi="Avenir Next LT Pro;sans-serif"/>
          <w:color w:val="000000"/>
          <w:sz w:val="24"/>
          <w:u w:val="single"/>
        </w:rPr>
        <w:t>No Further Compensation.</w:t>
      </w:r>
      <w:r>
        <w:rPr>
          <w:color w:val="000000"/>
        </w:rPr>
        <w:t xml:space="preserve"> </w:t>
      </w:r>
      <w:r>
        <w:rPr>
          <w:rFonts w:ascii="Avenir Next LT Pro;sans-serif" w:hAnsi="Avenir Next LT Pro;sans-serif"/>
          <w:color w:val="000000"/>
          <w:sz w:val="24"/>
        </w:rPr>
        <w:t xml:space="preserve">You acknowledge and agree that the payments and benefits described in Sections 1(c) and 2(b) are in complete satisfaction of any and all compensation or benefits due to you from the Company, whether for services provided or otherwise, through the Separation Date, and that, except as expressly provided under this Agreement, no further compensation or benefits are owed or will be paid to you. </w:t>
      </w:r>
    </w:p>
    <w:p>
      <w:pPr>
        <w:pStyle w:val="TextBody"/>
        <w:bidi w:val="0"/>
        <w:spacing w:before="240" w:after="240"/>
        <w:jc w:val="left"/>
        <w:rPr/>
      </w:pPr>
      <w:r>
        <w:rPr/>
        <w:t> </w:t>
      </w:r>
    </w:p>
    <w:p>
      <w:pPr>
        <w:pStyle w:val="TextBody"/>
        <w:bidi w:val="0"/>
        <w:spacing w:before="240" w:after="240"/>
        <w:jc w:val="left"/>
        <w:rPr>
          <w:rFonts w:ascii="Avenir Next LT Pro" w:hAnsi="Avenir Next LT Pro"/>
          <w:b/>
          <w:color w:val="000000"/>
          <w:sz w:val="24"/>
        </w:rPr>
      </w:pPr>
      <w:r>
        <w:rPr>
          <w:rFonts w:ascii="Avenir Next LT Pro" w:hAnsi="Avenir Next LT Pro"/>
          <w:b/>
          <w:color w:val="000000"/>
          <w:sz w:val="24"/>
        </w:rPr>
        <w:t>3.</w:t>
      </w:r>
    </w:p>
    <w:p>
      <w:pPr>
        <w:pStyle w:val="TextBody"/>
        <w:bidi w:val="0"/>
        <w:spacing w:before="240" w:after="240"/>
        <w:jc w:val="left"/>
        <w:rPr>
          <w:rFonts w:ascii="Avenir Next LT Pro;sans-serif" w:hAnsi="Avenir Next LT Pro;sans-serif"/>
          <w:b/>
          <w:color w:val="000000"/>
          <w:sz w:val="24"/>
        </w:rPr>
      </w:pPr>
      <w:r>
        <w:rPr>
          <w:rFonts w:ascii="Avenir Next LT Pro;sans-serif" w:hAnsi="Avenir Next LT Pro;sans-serif"/>
          <w:b/>
          <w:color w:val="000000"/>
          <w:sz w:val="24"/>
        </w:rPr>
        <w:t xml:space="preserve">Consulting Engagement. </w:t>
      </w:r>
    </w:p>
    <w:p>
      <w:pPr>
        <w:pStyle w:val="TextBody"/>
        <w:bidi w:val="0"/>
        <w:spacing w:before="240" w:after="240"/>
        <w:jc w:val="left"/>
        <w:rPr/>
      </w:pPr>
      <w:r>
        <w:rPr/>
        <w:t>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a.</w:t>
      </w:r>
    </w:p>
    <w:p>
      <w:pPr>
        <w:pStyle w:val="TextBody"/>
        <w:bidi w:val="0"/>
        <w:spacing w:before="240" w:after="240"/>
        <w:jc w:val="left"/>
        <w:rPr/>
      </w:pPr>
      <w:r>
        <w:rPr>
          <w:rFonts w:ascii="Avenir Next LT Pro;sans-serif" w:hAnsi="Avenir Next LT Pro;sans-serif"/>
          <w:color w:val="000000"/>
          <w:sz w:val="24"/>
          <w:u w:val="single"/>
        </w:rPr>
        <w:t>Services.</w:t>
      </w:r>
      <w:r>
        <w:rPr>
          <w:color w:val="000000"/>
        </w:rPr>
        <w:t xml:space="preserve"> </w:t>
      </w:r>
      <w:r>
        <w:rPr>
          <w:rFonts w:ascii="Avenir Next LT Pro;sans-serif" w:hAnsi="Avenir Next LT Pro;sans-serif"/>
          <w:color w:val="000000"/>
          <w:sz w:val="24"/>
        </w:rPr>
        <w:t xml:space="preserve">During the Consulting Period, you will be engaged to provide consulting services to the Company relating to government relations work and such other services as may from time to time be requested by the CEO or his designee not to exceed forty (40) hours per month. Your consulting services shall be provided remotely or at the Company’s offices. During the Consulting Period you will report to the CEO or his designee.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b.</w:t>
      </w:r>
    </w:p>
    <w:p>
      <w:pPr>
        <w:pStyle w:val="TextBody"/>
        <w:bidi w:val="0"/>
        <w:spacing w:before="240" w:after="240"/>
        <w:jc w:val="left"/>
        <w:rPr/>
      </w:pPr>
      <w:r>
        <w:rPr>
          <w:rFonts w:ascii="Avenir Next LT Pro;sans-serif" w:hAnsi="Avenir Next LT Pro;sans-serif"/>
          <w:color w:val="000000"/>
          <w:sz w:val="24"/>
          <w:u w:val="single"/>
        </w:rPr>
        <w:t>Relationship of the Parties</w:t>
      </w:r>
      <w:r>
        <w:rPr>
          <w:rFonts w:ascii="Avenir Next LT Pro;sans-serif" w:hAnsi="Avenir Next LT Pro;sans-serif"/>
          <w:color w:val="000000"/>
          <w:sz w:val="24"/>
        </w:rPr>
        <w:t xml:space="preserve">. You and the Company expressly agree that, in providing services under this Section 3 during the Consulting Period, you will be an independent contractor and will not be an employee or agent of the Company or any other member of the Company. You agree that you will have no right to make any commitments on behalf of the Company or any of its subsidiaries without the express written consent of the CEO. You further agree that you will provide services hereunder independently and will not receive training or direction from the Company or any of its subsidiaries, other than as to the goals to be achieved through the provision of such services. You are free to accept engagements from others during the term of this Agreement, as long as those engagements do not interfere with you providing services under this Agreement or otherwise violate any of your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rFonts w:ascii="Avenir Next LT Pro;sans-serif" w:hAnsi="Avenir Next LT Pro;sans-serif"/>
          <w:color w:val="000000"/>
          <w:sz w:val="24"/>
        </w:rPr>
      </w:pPr>
      <w:r>
        <w:rPr>
          <w:rFonts w:ascii="Avenir Next LT Pro;sans-serif" w:hAnsi="Avenir Next LT Pro;sans-serif"/>
          <w:color w:val="000000"/>
          <w:sz w:val="24"/>
        </w:rPr>
        <w:t>obligations hereunder or otherwise violate the Restrictive Covenants or any of your duties or obligations to the Company or its subsidiaries.</w:t>
      </w:r>
    </w:p>
    <w:p>
      <w:pPr>
        <w:pStyle w:val="TextBody"/>
        <w:bidi w:val="0"/>
        <w:spacing w:before="240" w:after="240"/>
        <w:jc w:val="left"/>
        <w:rPr/>
      </w:pPr>
      <w:r>
        <w:rPr/>
        <w:t>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c.</w:t>
      </w:r>
    </w:p>
    <w:p>
      <w:pPr>
        <w:pStyle w:val="TextBody"/>
        <w:bidi w:val="0"/>
        <w:spacing w:before="240" w:after="240"/>
        <w:jc w:val="left"/>
        <w:rPr/>
      </w:pPr>
      <w:r>
        <w:rPr>
          <w:rFonts w:ascii="Avenir Next LT Pro;sans-serif" w:hAnsi="Avenir Next LT Pro;sans-serif"/>
          <w:color w:val="000000"/>
          <w:sz w:val="24"/>
          <w:u w:val="single"/>
        </w:rPr>
        <w:t>Services for Others.</w:t>
      </w:r>
      <w:r>
        <w:rPr>
          <w:color w:val="000000"/>
        </w:rPr>
        <w:t xml:space="preserve"> </w:t>
      </w:r>
      <w:r>
        <w:rPr>
          <w:rFonts w:ascii="Avenir Next LT Pro;sans-serif" w:hAnsi="Avenir Next LT Pro;sans-serif"/>
          <w:color w:val="000000"/>
          <w:sz w:val="24"/>
        </w:rPr>
        <w:t xml:space="preserve">During the Consulting Period, you may choose to provide services for others, provided that such services do not (i) give rise to a conflict of interest or otherwise interfere with your obligations to the Company or (ii) violate the Restrictive Covenants (as defined below). </w:t>
      </w:r>
    </w:p>
    <w:p>
      <w:pPr>
        <w:pStyle w:val="TextBody"/>
        <w:bidi w:val="0"/>
        <w:spacing w:before="240" w:after="240"/>
        <w:jc w:val="left"/>
        <w:rPr/>
      </w:pPr>
      <w:r>
        <w:rPr/>
        <w:t>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d.</w:t>
      </w:r>
    </w:p>
    <w:p>
      <w:pPr>
        <w:pStyle w:val="TextBody"/>
        <w:bidi w:val="0"/>
        <w:spacing w:before="240" w:after="240"/>
        <w:jc w:val="left"/>
        <w:rPr/>
      </w:pPr>
      <w:r>
        <w:rPr>
          <w:rFonts w:ascii="Avenir Next LT Pro;sans-serif" w:hAnsi="Avenir Next LT Pro;sans-serif"/>
          <w:color w:val="000000"/>
          <w:sz w:val="24"/>
          <w:u w:val="single"/>
        </w:rPr>
        <w:t>Compensation.</w:t>
      </w:r>
      <w:r>
        <w:rPr>
          <w:color w:val="000000"/>
        </w:rPr>
        <w:t xml:space="preserve"> </w:t>
      </w:r>
      <w:r>
        <w:rPr>
          <w:rFonts w:ascii="Avenir Next LT Pro;sans-serif" w:hAnsi="Avenir Next LT Pro;sans-serif"/>
          <w:color w:val="000000"/>
          <w:sz w:val="24"/>
        </w:rPr>
        <w:t xml:space="preserve">In exchange for all of the services that you provide to the Company under this Agreement during the Consulting Period, in addition to the continued vesting of the Equity Awards during the Consulting Period as provided herein, the Company will pay you a consulting fee at the rate of $10,000 per year, payable in substantially equal monthly installments and pro rated for any partial period of service. All consulting fees paid hereunder will be payable on a monthly basis, not later than fifteen (15) days after the end of the applicable month. </w:t>
      </w:r>
    </w:p>
    <w:p>
      <w:pPr>
        <w:pStyle w:val="TextBody"/>
        <w:bidi w:val="0"/>
        <w:spacing w:before="240" w:after="240"/>
        <w:jc w:val="left"/>
        <w:rPr/>
      </w:pPr>
      <w:r>
        <w:rPr/>
        <w:t>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e.</w:t>
      </w:r>
    </w:p>
    <w:p>
      <w:pPr>
        <w:pStyle w:val="TextBody"/>
        <w:bidi w:val="0"/>
        <w:spacing w:before="240" w:after="240"/>
        <w:jc w:val="left"/>
        <w:rPr/>
      </w:pPr>
      <w:r>
        <w:rPr>
          <w:rFonts w:ascii="Avenir Next LT Pro;sans-serif" w:hAnsi="Avenir Next LT Pro;sans-serif"/>
          <w:color w:val="000000"/>
          <w:sz w:val="24"/>
          <w:u w:val="single"/>
        </w:rPr>
        <w:t>Taxes, Insurance and Benefits.</w:t>
      </w:r>
      <w:r>
        <w:rPr>
          <w:color w:val="000000"/>
        </w:rPr>
        <w:t xml:space="preserve"> </w:t>
      </w:r>
      <w:r>
        <w:rPr>
          <w:rFonts w:ascii="Avenir Next LT Pro;sans-serif" w:hAnsi="Avenir Next LT Pro;sans-serif"/>
          <w:color w:val="000000"/>
          <w:sz w:val="24"/>
        </w:rPr>
        <w:t>You acknowledge and agree that, as an independent contractor during the Consulting Period, you will be solely responsible for all insurance and for the payment of all federal, state and local income taxes, Social Security and Medicare taxes and other legally required payments on any amounts received from the Company. The Company will provide you with an IRS Form 1099 evidencing all compensation paid by it to you in connection with your engagement hereunder during the Consulting Period (except as is required by law with respect to any compensation related to your prior employment with the Company). You further acknowledge and agree that during the Consulting Period neither you nor any individual claiming through you will be eligible to (a) participate in any Company or Company affiliate bonus, incentive or other compensation plan, program or arrangement of any kind, whether payable in cash or equity, or (b) participate in or receive benefits under any of the employee benefit plans, programs and arrangements maintained by the Company or any of its affiliates, except as expressly set forth in this Agreement with respect to the Equity Awards, as required by law or with respect to the receipt of vested benefits under the benefit plans of the Company or its affiliates in accordance with the terms of such plans.</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rFonts w:ascii="Avenir Next LT Pro" w:hAnsi="Avenir Next LT Pro"/>
          <w:b/>
          <w:color w:val="000000"/>
          <w:sz w:val="24"/>
        </w:rPr>
      </w:pPr>
      <w:r>
        <w:rPr>
          <w:rFonts w:ascii="Avenir Next LT Pro" w:hAnsi="Avenir Next LT Pro"/>
          <w:b/>
          <w:color w:val="000000"/>
          <w:sz w:val="24"/>
        </w:rPr>
        <w:t>4.</w:t>
      </w:r>
    </w:p>
    <w:p>
      <w:pPr>
        <w:pStyle w:val="TextBody"/>
        <w:bidi w:val="0"/>
        <w:spacing w:before="240" w:after="240"/>
        <w:jc w:val="left"/>
        <w:rPr>
          <w:rFonts w:ascii="Avenir Next LT Pro;sans-serif" w:hAnsi="Avenir Next LT Pro;sans-serif"/>
          <w:b/>
          <w:color w:val="000000"/>
          <w:sz w:val="24"/>
        </w:rPr>
      </w:pPr>
      <w:r>
        <w:rPr>
          <w:rFonts w:ascii="Avenir Next LT Pro;sans-serif" w:hAnsi="Avenir Next LT Pro;sans-serif"/>
          <w:b/>
          <w:color w:val="000000"/>
          <w:sz w:val="24"/>
        </w:rPr>
        <w:t xml:space="preserve">Early Termination. </w:t>
      </w:r>
    </w:p>
    <w:p>
      <w:pPr>
        <w:pStyle w:val="TextBody"/>
        <w:bidi w:val="0"/>
        <w:spacing w:before="240" w:after="240"/>
        <w:jc w:val="left"/>
        <w:rPr/>
      </w:pPr>
      <w:r>
        <w:rPr/>
        <w:t>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a.</w:t>
      </w:r>
    </w:p>
    <w:p>
      <w:pPr>
        <w:pStyle w:val="TextBody"/>
        <w:bidi w:val="0"/>
        <w:spacing w:before="240" w:after="240"/>
        <w:jc w:val="left"/>
        <w:rPr/>
      </w:pPr>
      <w:r>
        <w:rPr>
          <w:rFonts w:ascii="Avenir Next LT Pro;sans-serif" w:hAnsi="Avenir Next LT Pro;sans-serif"/>
          <w:color w:val="000000"/>
          <w:sz w:val="24"/>
          <w:u w:val="single"/>
        </w:rPr>
        <w:t>Early Termination of Employment.</w:t>
      </w:r>
      <w:r>
        <w:rPr>
          <w:color w:val="000000"/>
        </w:rPr>
        <w:t xml:space="preserve"> </w:t>
      </w:r>
      <w:r>
        <w:rPr>
          <w:rFonts w:ascii="Avenir Next LT Pro;sans-serif" w:hAnsi="Avenir Next LT Pro;sans-serif"/>
          <w:color w:val="000000"/>
          <w:sz w:val="24"/>
        </w:rPr>
        <w:t xml:space="preserve">It is expected that your employment with the Company will continue until March 31, 2025. If your employment terminates prior to March 31, 2025 for any reason, your right to severance payments and benefits, if any, the terms and conditions of such severance payments and benefits and any notice requirements applicable to you and the Company will be as set forth in the Retention Agreement and you shall not be eligible to receive the payments and benefits set forth in this Agreement; provided, however, that if the Company terminates your employment without Cause (as defined in the Retention Agreement) prior to March 31, 2025, you shall receive the compensation and benefits (to the extent permitted by applicable benefit plan terms) set forth in Section 1(c) of this Agreement as if you were employed through March 31, 2025 and all Severance Payments and othe severance benefits set forth in Section 2(c) of this Agreement, in lieu of the payments and benefits set forth in the Retention Agreement. </w:t>
      </w:r>
    </w:p>
    <w:p>
      <w:pPr>
        <w:pStyle w:val="TextBody"/>
        <w:bidi w:val="0"/>
        <w:spacing w:before="240" w:after="240"/>
        <w:jc w:val="left"/>
        <w:rPr/>
      </w:pPr>
      <w:r>
        <w:rPr/>
        <w:t>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b.</w:t>
      </w:r>
    </w:p>
    <w:p>
      <w:pPr>
        <w:pStyle w:val="TextBody"/>
        <w:bidi w:val="0"/>
        <w:spacing w:before="240" w:after="240"/>
        <w:jc w:val="left"/>
        <w:rPr/>
      </w:pPr>
      <w:r>
        <w:rPr>
          <w:rFonts w:ascii="Avenir Next LT Pro;sans-serif" w:hAnsi="Avenir Next LT Pro;sans-serif"/>
          <w:color w:val="000000"/>
          <w:sz w:val="24"/>
          <w:u w:val="single"/>
        </w:rPr>
        <w:t>Early Termination of Consulting Period</w:t>
      </w:r>
      <w:r>
        <w:rPr>
          <w:rFonts w:ascii="Avenir Next LT Pro;sans-serif" w:hAnsi="Avenir Next LT Pro;sans-serif"/>
          <w:color w:val="000000"/>
          <w:sz w:val="24"/>
        </w:rPr>
        <w:t xml:space="preserve">. It is expected that the period of your consulting services with the Company shall extend through March 31, 2026. Notwithstanding the foregoing or anything to the contrary in this Agreement, the Company may terminate your service as a consultant for Cause (as defined in the Retention Agreement) immediately upon notice to you and either party may otherwise terminate the consulting services and your engagement as a consultant under this Agreement at any time upon thirty (30) days’ written notice to the other party. Except as otherwise set forth herein, upon the early termination of the Consulting Period and your engagement hereunder, the Company shall have no further obligation to you, other than for payment of any earned but unpaid consulting fee through the date of termination, for payment or reimbursement of expenses that are satisfactorily documented and substantiated, in either case in accordance with Section 3 above and solely to the extent not already paid, and for payment of all Severance Payments and other severance benefits set forth in Section 2(c) of this Agreement, which shall continue to be paid to you following any early termination of the Consulting Period by you or the Company, whether with or without Cause (as defined in the Retention Agreement). Moreover, upon the early termination of the Consulting Period by the Company other than for Cause (as defined in the Retention Agreement) or other than due to your gross negligence in the performance of your consulting services, or by you based on the Company’s material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rFonts w:ascii="Avenir Next LT Pro;sans-serif" w:hAnsi="Avenir Next LT Pro;sans-serif"/>
          <w:color w:val="000000"/>
          <w:sz w:val="24"/>
        </w:rPr>
        <w:t>breach of this Agreement, in addition to the continued payment of the Severance Payments and other severance benefits set forth in Section 2(c) of this Agreement to the extent not then paid, any outstanding Equity Awards that would have continued to vest through March 31, 2026 as set forth in Section 1(d) of this Agreement (had you continued to provide services through such date) shall be accelerated and shall vest on such termination.</w:t>
      </w:r>
      <w:r>
        <w:rPr>
          <w:color w:val="000000"/>
        </w:rPr>
        <w:t xml:space="preserve"> </w:t>
      </w:r>
    </w:p>
    <w:p>
      <w:pPr>
        <w:pStyle w:val="TextBody"/>
        <w:bidi w:val="0"/>
        <w:spacing w:before="240" w:after="240"/>
        <w:jc w:val="left"/>
        <w:rPr/>
      </w:pPr>
      <w:r>
        <w:rPr/>
        <w:t> </w:t>
      </w:r>
    </w:p>
    <w:p>
      <w:pPr>
        <w:pStyle w:val="TextBody"/>
        <w:bidi w:val="0"/>
        <w:spacing w:before="240" w:after="240"/>
        <w:jc w:val="left"/>
        <w:rPr>
          <w:rFonts w:ascii="Avenir Next LT Pro" w:hAnsi="Avenir Next LT Pro"/>
          <w:b/>
          <w:color w:val="000000"/>
          <w:sz w:val="24"/>
        </w:rPr>
      </w:pPr>
      <w:r>
        <w:rPr>
          <w:rFonts w:ascii="Avenir Next LT Pro" w:hAnsi="Avenir Next LT Pro"/>
          <w:b/>
          <w:color w:val="000000"/>
          <w:sz w:val="24"/>
        </w:rPr>
        <w:t>5.</w:t>
      </w:r>
    </w:p>
    <w:p>
      <w:pPr>
        <w:pStyle w:val="TextBody"/>
        <w:bidi w:val="0"/>
        <w:spacing w:before="240" w:after="240"/>
        <w:jc w:val="left"/>
        <w:rPr/>
      </w:pPr>
      <w:r>
        <w:rPr>
          <w:rFonts w:ascii="Avenir Next LT Pro;sans-serif" w:hAnsi="Avenir Next LT Pro;sans-serif"/>
          <w:b/>
          <w:color w:val="000000"/>
          <w:sz w:val="24"/>
        </w:rPr>
        <w:t>Withholding.</w:t>
      </w:r>
      <w:r>
        <w:rPr>
          <w:color w:val="000000"/>
        </w:rPr>
        <w:t xml:space="preserve"> </w:t>
      </w:r>
      <w:r>
        <w:rPr>
          <w:rFonts w:ascii="Avenir Next LT Pro;sans-serif" w:hAnsi="Avenir Next LT Pro;sans-serif"/>
          <w:color w:val="000000"/>
          <w:sz w:val="24"/>
        </w:rPr>
        <w:t xml:space="preserve">Without limiting the provisions of Section 3(e) of this Agreement, the Company shall have the right to withhold from all payments made under this Agreement or otherwise paid or provided to you in respect of your employment with the Company any taxes or any other amounts required to be withheld by the Company under applicable law, which amounts may be withheld in the discretion of the Company from any amounts payable under this Agreement. </w:t>
      </w:r>
    </w:p>
    <w:p>
      <w:pPr>
        <w:pStyle w:val="TextBody"/>
        <w:bidi w:val="0"/>
        <w:spacing w:before="240" w:after="240"/>
        <w:jc w:val="left"/>
        <w:rPr/>
      </w:pPr>
      <w:r>
        <w:rPr/>
        <w:t> </w:t>
      </w:r>
    </w:p>
    <w:p>
      <w:pPr>
        <w:pStyle w:val="TextBody"/>
        <w:bidi w:val="0"/>
        <w:spacing w:before="240" w:after="240"/>
        <w:jc w:val="left"/>
        <w:rPr>
          <w:rFonts w:ascii="Avenir Next LT Pro" w:hAnsi="Avenir Next LT Pro"/>
          <w:b/>
          <w:color w:val="000000"/>
          <w:sz w:val="24"/>
        </w:rPr>
      </w:pPr>
      <w:r>
        <w:rPr>
          <w:rFonts w:ascii="Avenir Next LT Pro" w:hAnsi="Avenir Next LT Pro"/>
          <w:b/>
          <w:color w:val="000000"/>
          <w:sz w:val="24"/>
        </w:rPr>
        <w:t>6.</w:t>
      </w:r>
    </w:p>
    <w:p>
      <w:pPr>
        <w:pStyle w:val="TextBody"/>
        <w:bidi w:val="0"/>
        <w:spacing w:before="240" w:after="240"/>
        <w:jc w:val="left"/>
        <w:rPr>
          <w:rFonts w:ascii="Avenir Next LT Pro;sans-serif" w:hAnsi="Avenir Next LT Pro;sans-serif"/>
          <w:b/>
          <w:color w:val="000000"/>
          <w:sz w:val="24"/>
        </w:rPr>
      </w:pPr>
      <w:r>
        <w:rPr>
          <w:rFonts w:ascii="Avenir Next LT Pro;sans-serif" w:hAnsi="Avenir Next LT Pro;sans-serif"/>
          <w:b/>
          <w:color w:val="000000"/>
          <w:sz w:val="24"/>
        </w:rPr>
        <w:t xml:space="preserve">Continuing Obligations, Cooperation, Non-Disparagement. </w:t>
      </w:r>
    </w:p>
    <w:p>
      <w:pPr>
        <w:pStyle w:val="TextBody"/>
        <w:bidi w:val="0"/>
        <w:spacing w:before="240" w:after="240"/>
        <w:jc w:val="left"/>
        <w:rPr/>
      </w:pPr>
      <w:r>
        <w:rPr/>
        <w:t>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a.</w:t>
      </w:r>
    </w:p>
    <w:p>
      <w:pPr>
        <w:pStyle w:val="TextBody"/>
        <w:bidi w:val="0"/>
        <w:spacing w:before="240" w:after="240"/>
        <w:jc w:val="left"/>
        <w:rPr/>
      </w:pPr>
      <w:r>
        <w:rPr>
          <w:rFonts w:ascii="Avenir Next LT Pro;sans-serif" w:hAnsi="Avenir Next LT Pro;sans-serif"/>
          <w:color w:val="000000"/>
          <w:sz w:val="24"/>
        </w:rPr>
        <w:t>You acknowledge and agree that the restrictive covenants set forth in the Non-Competition Agreement between you and the Company (the “</w:t>
      </w:r>
      <w:r>
        <w:rPr>
          <w:rFonts w:ascii="Avenir Next LT Pro;sans-serif" w:hAnsi="Avenir Next LT Pro;sans-serif"/>
          <w:color w:val="000000"/>
          <w:sz w:val="24"/>
          <w:u w:val="single"/>
        </w:rPr>
        <w:t>Non-Competition Agreement</w:t>
      </w:r>
      <w:r>
        <w:rPr>
          <w:color w:val="000000"/>
        </w:rPr>
        <w:t>”</w:t>
      </w:r>
      <w:r>
        <w:rPr>
          <w:rFonts w:ascii="Avenir Next LT Pro;sans-serif" w:hAnsi="Avenir Next LT Pro;sans-serif"/>
          <w:color w:val="000000"/>
          <w:sz w:val="24"/>
        </w:rPr>
        <w:t>), together with any other confidentiality, non-solicitation, invention assignment or other restrictive covenants in favor the Company or any of its affiliates to which you are bound (together, the “</w:t>
      </w:r>
      <w:r>
        <w:rPr>
          <w:rFonts w:ascii="Avenir Next LT Pro;sans-serif" w:hAnsi="Avenir Next LT Pro;sans-serif"/>
          <w:color w:val="000000"/>
          <w:sz w:val="24"/>
          <w:u w:val="single"/>
        </w:rPr>
        <w:t>Restrictive Covenants”),</w:t>
      </w:r>
      <w:r>
        <w:rPr>
          <w:color w:val="000000"/>
        </w:rPr>
        <w:t xml:space="preserve"> </w:t>
      </w:r>
      <w:r>
        <w:rPr>
          <w:rFonts w:ascii="Avenir Next LT Pro;sans-serif" w:hAnsi="Avenir Next LT Pro;sans-serif"/>
          <w:color w:val="000000"/>
          <w:sz w:val="24"/>
        </w:rPr>
        <w:t xml:space="preserve">shall continue to apply in accordance with their terms. </w:t>
      </w:r>
    </w:p>
    <w:p>
      <w:pPr>
        <w:pStyle w:val="TextBody"/>
        <w:bidi w:val="0"/>
        <w:spacing w:before="240" w:after="240"/>
        <w:jc w:val="left"/>
        <w:rPr/>
      </w:pPr>
      <w:r>
        <w:rPr/>
        <w:t>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b.</w:t>
      </w:r>
    </w:p>
    <w:p>
      <w:pPr>
        <w:pStyle w:val="TextBody"/>
        <w:bidi w:val="0"/>
        <w:spacing w:before="240" w:after="240"/>
        <w:jc w:val="left"/>
        <w:rPr>
          <w:rFonts w:ascii="Avenir Next LT Pro;sans-serif" w:hAnsi="Avenir Next LT Pro;sans-serif"/>
          <w:color w:val="000000"/>
          <w:sz w:val="24"/>
        </w:rPr>
      </w:pPr>
      <w:r>
        <w:rPr>
          <w:rFonts w:ascii="Avenir Next LT Pro;sans-serif" w:hAnsi="Avenir Next LT Pro;sans-serif"/>
          <w:color w:val="000000"/>
          <w:sz w:val="24"/>
        </w:rPr>
        <w:t>You agree to cooperate with the Company and its affiliates with respect to all matters arising during or related to your employment, including but not limited to all matters in connection with any governmental investigation, litigation or regulatory or other proceeding which may have arisen or which may arise following the signing of this Agreement, which such agreement to cooperate shall survive the termination of your service hereunder. The Company will reimburse your out-of-pocket expenses incurred in complying with Company requests hereunder, provided such expenses are authorized by the Company in advance.</w:t>
      </w:r>
    </w:p>
    <w:p>
      <w:pPr>
        <w:pStyle w:val="TextBody"/>
        <w:bidi w:val="0"/>
        <w:spacing w:before="240" w:after="240"/>
        <w:jc w:val="left"/>
        <w:rPr/>
      </w:pPr>
      <w:r>
        <w:rPr/>
        <w:t>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c.</w:t>
      </w:r>
    </w:p>
    <w:p>
      <w:pPr>
        <w:pStyle w:val="TextBody"/>
        <w:bidi w:val="0"/>
        <w:spacing w:before="240" w:after="240"/>
        <w:jc w:val="left"/>
        <w:rPr>
          <w:rFonts w:ascii="Avenir Next LT Pro;sans-serif" w:hAnsi="Avenir Next LT Pro;sans-serif"/>
          <w:color w:val="000000"/>
          <w:sz w:val="24"/>
        </w:rPr>
      </w:pPr>
      <w:r>
        <w:rPr>
          <w:rFonts w:ascii="Avenir Next LT Pro;sans-serif" w:hAnsi="Avenir Next LT Pro;sans-serif"/>
          <w:color w:val="000000"/>
          <w:sz w:val="24"/>
        </w:rPr>
        <w:t xml:space="preserve">You agree that you will not at any time disparage or criticize the Company, any of its affiliates, or any of their respective management, businesses, products or services, or any of the other Released Parties (as defined below) that are known to you. The Company agrees (i) to instruct its officers and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rFonts w:ascii="Avenir Next LT Pro;sans-serif" w:hAnsi="Avenir Next LT Pro;sans-serif"/>
          <w:color w:val="000000"/>
          <w:sz w:val="24"/>
        </w:rPr>
      </w:pPr>
      <w:r>
        <w:rPr>
          <w:rFonts w:ascii="Avenir Next LT Pro;sans-serif" w:hAnsi="Avenir Next LT Pro;sans-serif"/>
          <w:color w:val="000000"/>
          <w:sz w:val="24"/>
        </w:rPr>
        <w:t>directors as of the Separation Date not to disparage or criticize you and (ii) not to disparage you in any authorized corporate communications to any third parties.</w:t>
      </w:r>
    </w:p>
    <w:p>
      <w:pPr>
        <w:pStyle w:val="TextBody"/>
        <w:bidi w:val="0"/>
        <w:spacing w:before="240" w:after="240"/>
        <w:jc w:val="left"/>
        <w:rPr/>
      </w:pPr>
      <w:r>
        <w:rPr/>
        <w:t> </w:t>
      </w:r>
    </w:p>
    <w:p>
      <w:pPr>
        <w:pStyle w:val="TextBody"/>
        <w:bidi w:val="0"/>
        <w:spacing w:before="240" w:after="240"/>
        <w:jc w:val="left"/>
        <w:rPr>
          <w:rFonts w:ascii="Avenir Next LT Pro" w:hAnsi="Avenir Next LT Pro"/>
          <w:b/>
          <w:color w:val="000000"/>
          <w:sz w:val="24"/>
        </w:rPr>
      </w:pPr>
      <w:r>
        <w:rPr>
          <w:rFonts w:ascii="Avenir Next LT Pro" w:hAnsi="Avenir Next LT Pro"/>
          <w:b/>
          <w:color w:val="000000"/>
          <w:sz w:val="24"/>
        </w:rPr>
        <w:t>7.</w:t>
      </w:r>
    </w:p>
    <w:p>
      <w:pPr>
        <w:pStyle w:val="TextBody"/>
        <w:bidi w:val="0"/>
        <w:spacing w:before="240" w:after="240"/>
        <w:jc w:val="left"/>
        <w:rPr>
          <w:rFonts w:ascii="Avenir Next LT Pro;sans-serif" w:hAnsi="Avenir Next LT Pro;sans-serif"/>
          <w:b/>
          <w:color w:val="000000"/>
          <w:sz w:val="24"/>
        </w:rPr>
      </w:pPr>
      <w:r>
        <w:rPr>
          <w:rFonts w:ascii="Avenir Next LT Pro;sans-serif" w:hAnsi="Avenir Next LT Pro;sans-serif"/>
          <w:b/>
          <w:color w:val="000000"/>
          <w:sz w:val="24"/>
        </w:rPr>
        <w:t>Section 409A.</w:t>
      </w:r>
    </w:p>
    <w:p>
      <w:pPr>
        <w:pStyle w:val="TextBody"/>
        <w:bidi w:val="0"/>
        <w:spacing w:before="240" w:after="240"/>
        <w:jc w:val="left"/>
        <w:rPr/>
      </w:pPr>
      <w:r>
        <w:rPr/>
        <w:t>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a.</w:t>
      </w:r>
    </w:p>
    <w:p>
      <w:pPr>
        <w:pStyle w:val="TextBody"/>
        <w:bidi w:val="0"/>
        <w:spacing w:before="240" w:after="240"/>
        <w:jc w:val="left"/>
        <w:rPr>
          <w:rFonts w:ascii="Avenir Next LT Pro;sans-serif" w:hAnsi="Avenir Next LT Pro;sans-serif"/>
          <w:color w:val="000000"/>
          <w:sz w:val="24"/>
        </w:rPr>
      </w:pPr>
      <w:r>
        <w:rPr>
          <w:rFonts w:ascii="Avenir Next LT Pro;sans-serif" w:hAnsi="Avenir Next LT Pro;sans-serif"/>
          <w:color w:val="000000"/>
          <w:sz w:val="24"/>
        </w:rPr>
        <w:t xml:space="preserve">This Agreement and the payments and benefits provided hereunder are intended to be exempt from, or comply with, the requirements of Section 409A of the Code, and shall be construed consistently with that intent. Notwithstanding the foregoing, in no event shall the Company have any liability relating to the failure or alleged failure of any payment or benefit under this Agreement to be exempt from, or comply with, the requirements of Section 409A of the Code. Each payment made under this Agreement shall be treated as a separate payment and the right to a series of installment payments under this Agreement shall be treated as a right to a series of separate payments. </w:t>
      </w:r>
    </w:p>
    <w:p>
      <w:pPr>
        <w:pStyle w:val="TextBody"/>
        <w:bidi w:val="0"/>
        <w:spacing w:before="240" w:after="240"/>
        <w:jc w:val="left"/>
        <w:rPr/>
      </w:pPr>
      <w:r>
        <w:rPr/>
        <w:t>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b.</w:t>
      </w:r>
    </w:p>
    <w:p>
      <w:pPr>
        <w:pStyle w:val="TextBody"/>
        <w:bidi w:val="0"/>
        <w:spacing w:before="240" w:after="240"/>
        <w:jc w:val="left"/>
        <w:rPr>
          <w:rFonts w:ascii="Avenir Next LT Pro;sans-serif" w:hAnsi="Avenir Next LT Pro;sans-serif"/>
          <w:color w:val="000000"/>
          <w:sz w:val="24"/>
        </w:rPr>
      </w:pPr>
      <w:r>
        <w:rPr>
          <w:rFonts w:ascii="Avenir Next LT Pro;sans-serif" w:hAnsi="Avenir Next LT Pro;sans-serif"/>
          <w:color w:val="000000"/>
          <w:sz w:val="24"/>
        </w:rPr>
        <w:t>Any reimbursement for expenses payable to you hereunder that would constitute nonqualified deferred compensation subject to Section 409A of the Code shall be subject to the following additional rules: (i) no reimbursement of any such expense shall affect your right to reimbursement of any such expense in any other taxable year; (ii) reimbursement of the expense shall be made, if at all, promptly, but not later than the end of the calendar year following the calendar year in which the expense was incurred; and (iii) the right to reimbursement shall not be subject to liquidation or exchange for any other benefit.</w:t>
      </w:r>
    </w:p>
    <w:p>
      <w:pPr>
        <w:pStyle w:val="TextBody"/>
        <w:bidi w:val="0"/>
        <w:spacing w:before="240" w:after="240"/>
        <w:jc w:val="left"/>
        <w:rPr/>
      </w:pPr>
      <w:r>
        <w:rPr/>
        <w:t>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c.</w:t>
      </w:r>
    </w:p>
    <w:p>
      <w:pPr>
        <w:pStyle w:val="TextBody"/>
        <w:bidi w:val="0"/>
        <w:spacing w:before="240" w:after="240"/>
        <w:jc w:val="left"/>
        <w:rPr>
          <w:rFonts w:ascii="Avenir Next LT Pro;sans-serif" w:hAnsi="Avenir Next LT Pro;sans-serif"/>
          <w:color w:val="000000"/>
          <w:sz w:val="24"/>
        </w:rPr>
      </w:pPr>
      <w:r>
        <w:rPr>
          <w:rFonts w:ascii="Avenir Next LT Pro;sans-serif" w:hAnsi="Avenir Next LT Pro;sans-serif"/>
          <w:color w:val="000000"/>
          <w:sz w:val="24"/>
        </w:rPr>
        <w:t xml:space="preserve">If you are a “specified employee” (as defined below) at the time of your “separation from service” (as defined below), any payments or benefits that are payable under this Agreement or otherwise on account of your separation from service that would (but for this provision) be payable within six (6) months following the date of such separation from service, shall instead be paid on the next business day following the expiration of such six (6)-month period or, if earlier, upon your death; except (i) to the extent of amounts that do not constitute a deferral of compensation within the meaning of Section 1.409A-1(b) of the Treasury Regulations (including without limitation by reason of the safe harbor set forth in Section 1.409A-1(b)(9)(iii), as determined by the Company in its reasonable good faith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rFonts w:ascii="Avenir Next LT Pro;sans-serif" w:hAnsi="Avenir Next LT Pro;sans-serif"/>
          <w:color w:val="000000"/>
          <w:sz w:val="24"/>
        </w:rPr>
      </w:pPr>
      <w:r>
        <w:rPr>
          <w:rFonts w:ascii="Avenir Next LT Pro;sans-serif" w:hAnsi="Avenir Next LT Pro;sans-serif"/>
          <w:color w:val="000000"/>
          <w:sz w:val="24"/>
        </w:rPr>
        <w:t>discretion); (ii) benefits which qualify as excepted welfare benefits pursuant to Section 1.409A-1(a)(5) of the Treasury Regulations; or (iii) other amounts or benefits that are not subject to the requirements of Section 409A of the Code.</w:t>
      </w:r>
    </w:p>
    <w:p>
      <w:pPr>
        <w:pStyle w:val="TextBody"/>
        <w:bidi w:val="0"/>
        <w:spacing w:before="240" w:after="240"/>
        <w:jc w:val="left"/>
        <w:rPr/>
      </w:pPr>
      <w:r>
        <w:rPr/>
        <w:t> </w:t>
      </w:r>
    </w:p>
    <w:p>
      <w:pPr>
        <w:pStyle w:val="TextBody"/>
        <w:bidi w:val="0"/>
        <w:spacing w:before="240" w:after="240"/>
        <w:jc w:val="left"/>
        <w:rPr>
          <w:rFonts w:ascii="Avenir Next LT Pro" w:hAnsi="Avenir Next LT Pro"/>
          <w:color w:val="000000"/>
          <w:sz w:val="24"/>
        </w:rPr>
      </w:pPr>
      <w:r>
        <w:rPr>
          <w:rFonts w:ascii="Avenir Next LT Pro" w:hAnsi="Avenir Next LT Pro"/>
          <w:color w:val="000000"/>
          <w:sz w:val="24"/>
        </w:rPr>
        <w:t>d.</w:t>
      </w:r>
    </w:p>
    <w:p>
      <w:pPr>
        <w:pStyle w:val="TextBody"/>
        <w:bidi w:val="0"/>
        <w:spacing w:before="240" w:after="240"/>
        <w:jc w:val="left"/>
        <w:rPr>
          <w:rFonts w:ascii="Avenir Next LT Pro;sans-serif" w:hAnsi="Avenir Next LT Pro;sans-serif"/>
          <w:color w:val="000000"/>
          <w:sz w:val="24"/>
        </w:rPr>
      </w:pPr>
      <w:r>
        <w:rPr>
          <w:rFonts w:ascii="Avenir Next LT Pro;sans-serif" w:hAnsi="Avenir Next LT Pro;sans-serif"/>
          <w:color w:val="000000"/>
          <w:sz w:val="24"/>
        </w:rPr>
        <w:t>For purposes of this Agreement, the term “separation from service” shall have the meaning set forth in Section 1.409A-1(h) of the Treasury Regulations (after giving effect to the presumptions contained therein), and the term “specified employee” means an individual determined by the Company to be a specified employee under Section 1.409A-1(i) of the Treasury Regulations. For the avoidance of doubt, your termination of employment on the Separation Date is intended to constitute a separation from service.</w:t>
      </w:r>
    </w:p>
    <w:p>
      <w:pPr>
        <w:pStyle w:val="TextBody"/>
        <w:bidi w:val="0"/>
        <w:spacing w:before="240" w:after="240"/>
        <w:jc w:val="left"/>
        <w:rPr/>
      </w:pPr>
      <w:r>
        <w:rPr/>
        <w:t> </w:t>
      </w:r>
    </w:p>
    <w:p>
      <w:pPr>
        <w:pStyle w:val="TextBody"/>
        <w:bidi w:val="0"/>
        <w:spacing w:before="240" w:after="240"/>
        <w:jc w:val="left"/>
        <w:rPr>
          <w:rFonts w:ascii="Avenir Next LT Pro" w:hAnsi="Avenir Next LT Pro"/>
          <w:b/>
          <w:color w:val="000000"/>
          <w:sz w:val="24"/>
        </w:rPr>
      </w:pPr>
      <w:r>
        <w:rPr>
          <w:rFonts w:ascii="Avenir Next LT Pro" w:hAnsi="Avenir Next LT Pro"/>
          <w:b/>
          <w:color w:val="000000"/>
          <w:sz w:val="24"/>
        </w:rPr>
        <w:t>8.</w:t>
      </w:r>
    </w:p>
    <w:p>
      <w:pPr>
        <w:pStyle w:val="TextBody"/>
        <w:bidi w:val="0"/>
        <w:spacing w:before="240" w:after="240"/>
        <w:jc w:val="left"/>
        <w:rPr/>
      </w:pPr>
      <w:r>
        <w:rPr>
          <w:rFonts w:ascii="Avenir Next LT Pro;sans-serif" w:hAnsi="Avenir Next LT Pro;sans-serif"/>
          <w:b/>
          <w:color w:val="000000"/>
          <w:sz w:val="24"/>
        </w:rPr>
        <w:t>Section 280G.</w:t>
      </w:r>
      <w:r>
        <w:rPr>
          <w:color w:val="000000"/>
        </w:rPr>
        <w:t xml:space="preserve"> </w:t>
      </w:r>
      <w:r>
        <w:rPr>
          <w:rFonts w:ascii="Avenir Next LT Pro;sans-serif" w:hAnsi="Avenir Next LT Pro;sans-serif"/>
          <w:color w:val="000000"/>
          <w:sz w:val="24"/>
        </w:rPr>
        <w:t xml:space="preserve">The provisions of Section 4.5 of the Retention Agreement are hereby incorporated by reference and shall be given full force and effect in the event that any future event, payment, or benefit could trigger excise taxes under Section 280G of the Code. </w:t>
      </w:r>
    </w:p>
    <w:p>
      <w:pPr>
        <w:pStyle w:val="TextBody"/>
        <w:bidi w:val="0"/>
        <w:spacing w:before="240" w:after="240"/>
        <w:jc w:val="left"/>
        <w:rPr/>
      </w:pPr>
      <w:r>
        <w:rPr/>
        <w:t> </w:t>
      </w:r>
    </w:p>
    <w:p>
      <w:pPr>
        <w:pStyle w:val="TextBody"/>
        <w:bidi w:val="0"/>
        <w:spacing w:before="240" w:after="240"/>
        <w:jc w:val="left"/>
        <w:rPr>
          <w:rFonts w:ascii="Avenir Next LT Pro" w:hAnsi="Avenir Next LT Pro"/>
          <w:b/>
          <w:color w:val="000000"/>
          <w:sz w:val="24"/>
        </w:rPr>
      </w:pPr>
      <w:r>
        <w:rPr>
          <w:rFonts w:ascii="Avenir Next LT Pro" w:hAnsi="Avenir Next LT Pro"/>
          <w:b/>
          <w:color w:val="000000"/>
          <w:sz w:val="24"/>
        </w:rPr>
        <w:t>9.</w:t>
      </w:r>
    </w:p>
    <w:p>
      <w:pPr>
        <w:pStyle w:val="TextBody"/>
        <w:bidi w:val="0"/>
        <w:spacing w:before="240" w:after="240"/>
        <w:jc w:val="left"/>
        <w:rPr/>
      </w:pPr>
      <w:r>
        <w:rPr>
          <w:rFonts w:ascii="Avenir Next LT Pro;sans-serif" w:hAnsi="Avenir Next LT Pro;sans-serif"/>
          <w:b/>
          <w:color w:val="000000"/>
          <w:sz w:val="24"/>
        </w:rPr>
        <w:t>Miscellaneous.</w:t>
      </w:r>
      <w:r>
        <w:rPr>
          <w:color w:val="000000"/>
        </w:rPr>
        <w:t xml:space="preserve"> </w:t>
      </w:r>
      <w:r>
        <w:rPr>
          <w:rFonts w:ascii="Avenir Next LT Pro;sans-serif" w:hAnsi="Avenir Next LT Pro;sans-serif"/>
          <w:color w:val="000000"/>
          <w:sz w:val="24"/>
        </w:rPr>
        <w:t>This Agreement constitutes the entire agreement between you and the Company, and replaces all prior and contemporaneous agreements, whether written or oral, with respect to the subject matter of this Agreement and all related matters, with the exception of the Equity Documents; it being understood, for the avoidance of doubt, that the Restrictive Covenants shall remain in effect in accordance with their terms and nothing in this Agreement modifies or qualifies your rights to advancement of expenses and indemnification in your capacity as a former officer of the Company or any entitlement to D&amp;O insurance for acts or omissions during your tenure as an officer of the Company. This Agreement may not be amended and no breach will be deemed waived unless agreed to in a signed writing by you and an authorized officer of the Company. The headings and captions in this Agreement are for convenience only and in no way define or describe the scope or content of any provision of this Agreement. This is a Massachusetts contract and shall be governed and construed in accordance with the laws of Massachusetts, without regard to any conflict of laws principles that would result in the application of the laws of another jurisdiction. The governing law and jurisdiction provisions of the Retention Agreement shall apply to this Agreement. This Agreement may be executed in separate counterparts (including by electronically delivered .pdf files or copies of manually signed signature pages), each of which will be deemed to be an original and all of which taken together will constitute one and the same agreement.</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center"/>
        <w:rPr>
          <w:rFonts w:ascii="Times New Roman" w:hAnsi="Times New Roman"/>
          <w:sz w:val="20"/>
        </w:rPr>
      </w:pPr>
      <w:r>
        <w:rPr>
          <w:rFonts w:ascii="Avenir Next LT Pro;sans-serif" w:hAnsi="Avenir Next LT Pro;sans-serif"/>
          <w:color w:val="000000"/>
          <w:sz w:val="24"/>
        </w:rPr>
        <w:t>[</w:t>
      </w:r>
      <w:r>
        <w:rPr>
          <w:rFonts w:ascii="Avenir Next LT Pro;sans-serif" w:hAnsi="Avenir Next LT Pro;sans-serif"/>
          <w:i/>
          <w:color w:val="000000"/>
          <w:sz w:val="24"/>
        </w:rPr>
        <w:t>Remainder of page intentionally left blank.</w:t>
      </w:r>
      <w:r>
        <w:rPr>
          <w:rFonts w:ascii="Avenir Next LT Pro;sans-serif" w:hAnsi="Avenir Next LT Pro;sans-serif"/>
          <w:color w:val="000000"/>
          <w:sz w:val="24"/>
        </w:rPr>
        <w:t>]</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rFonts w:ascii="Avenir Next LT Pro;sans-serif" w:hAnsi="Avenir Next LT Pro;sans-serif"/>
          <w:color w:val="000000"/>
          <w:sz w:val="24"/>
        </w:rPr>
      </w:pPr>
      <w:r>
        <w:rPr>
          <w:rFonts w:ascii="Avenir Next LT Pro;sans-serif" w:hAnsi="Avenir Next LT Pro;sans-serif"/>
          <w:color w:val="000000"/>
          <w:sz w:val="24"/>
        </w:rPr>
        <w:t>If the foregoing is acceptable to you, please sign this letter in the space provided and return it to the Company. The enclosed copy of this letter, which you should also sign and date, is for your records.</w:t>
      </w:r>
    </w:p>
    <w:p>
      <w:pPr>
        <w:pStyle w:val="TextBody"/>
        <w:bidi w:val="0"/>
        <w:spacing w:before="240" w:after="240"/>
        <w:jc w:val="left"/>
        <w:rPr/>
      </w:pPr>
      <w:r>
        <w:rPr/>
        <w:t>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rFonts w:ascii="Avenir Next LT Pro;sans-serif" w:hAnsi="Avenir Next LT Pro;sans-serif"/>
          <w:color w:val="000000"/>
          <w:sz w:val="24"/>
        </w:rPr>
      </w:pPr>
      <w:r>
        <w:rPr>
          <w:rFonts w:ascii="Avenir Next LT Pro;sans-serif" w:hAnsi="Avenir Next LT Pro;sans-serif"/>
          <w:color w:val="000000"/>
          <w:sz w:val="24"/>
        </w:rPr>
        <w:t>Sincerely,</w:t>
      </w:r>
    </w:p>
    <w:p>
      <w:pPr>
        <w:pStyle w:val="TextBody"/>
        <w:bidi w:val="0"/>
        <w:spacing w:before="240" w:after="240"/>
        <w:jc w:val="left"/>
        <w:rPr>
          <w:rFonts w:ascii="Avenir Next LT Pro;sans-serif" w:hAnsi="Avenir Next LT Pro;sans-serif"/>
          <w:color w:val="000000"/>
          <w:sz w:val="24"/>
        </w:rPr>
      </w:pPr>
      <w:r>
        <w:rPr>
          <w:rFonts w:ascii="Avenir Next LT Pro;sans-serif" w:hAnsi="Avenir Next LT Pro;sans-serif"/>
          <w:color w:val="000000"/>
          <w:sz w:val="24"/>
        </w:rPr>
        <w:t>TRANSMEDICS, INC.</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rFonts w:ascii="Times New Roman" w:hAnsi="Times New Roman"/>
          <w:sz w:val="20"/>
        </w:rPr>
      </w:pPr>
      <w:r>
        <w:rPr>
          <w:rFonts w:ascii="Avenir Next LT Pro;sans-serif" w:hAnsi="Avenir Next LT Pro;sans-serif"/>
          <w:color w:val="000000"/>
          <w:sz w:val="24"/>
        </w:rPr>
        <w:t xml:space="preserve">By: </w:t>
      </w:r>
      <w:r>
        <w:rPr>
          <w:rFonts w:ascii="Avenir Next LT Pro;sans-serif" w:hAnsi="Avenir Next LT Pro;sans-serif"/>
          <w:color w:val="000000"/>
          <w:sz w:val="24"/>
          <w:u w:val="single"/>
        </w:rPr>
        <w:t>_/s/ Waleed H. Hassanein, M.D.</w:t>
      </w:r>
    </w:p>
    <w:p>
      <w:pPr>
        <w:pStyle w:val="TextBody"/>
        <w:bidi w:val="0"/>
        <w:spacing w:before="240" w:after="240"/>
        <w:jc w:val="left"/>
        <w:rPr>
          <w:rFonts w:ascii="Avenir Next LT Pro;sans-serif" w:hAnsi="Avenir Next LT Pro;sans-serif"/>
          <w:color w:val="000000"/>
          <w:sz w:val="24"/>
        </w:rPr>
      </w:pPr>
      <w:r>
        <w:rPr>
          <w:rFonts w:ascii="Avenir Next LT Pro;sans-serif" w:hAnsi="Avenir Next LT Pro;sans-serif"/>
          <w:color w:val="000000"/>
          <w:sz w:val="24"/>
        </w:rPr>
        <w:t>Waleed H. Hassanein, M.D.</w:t>
      </w:r>
    </w:p>
    <w:p>
      <w:pPr>
        <w:pStyle w:val="TextBody"/>
        <w:bidi w:val="0"/>
        <w:spacing w:before="240" w:after="240"/>
        <w:jc w:val="left"/>
        <w:rPr>
          <w:rFonts w:ascii="Avenir Next LT Pro;sans-serif" w:hAnsi="Avenir Next LT Pro;sans-serif"/>
          <w:color w:val="000000"/>
          <w:sz w:val="24"/>
        </w:rPr>
      </w:pPr>
      <w:r>
        <w:rPr>
          <w:rFonts w:ascii="Avenir Next LT Pro;sans-serif" w:hAnsi="Avenir Next LT Pro;sans-serif"/>
          <w:color w:val="000000"/>
          <w:sz w:val="24"/>
        </w:rPr>
        <w:t>President and Chief Executive Officer</w:t>
      </w:r>
    </w:p>
    <w:p>
      <w:pPr>
        <w:pStyle w:val="TextBody"/>
        <w:bidi w:val="0"/>
        <w:spacing w:before="240" w:after="240"/>
        <w:jc w:val="left"/>
        <w:rPr>
          <w:rFonts w:ascii="Avenir Next LT Pro;sans-serif" w:hAnsi="Avenir Next LT Pro;sans-serif"/>
          <w:color w:val="000000"/>
          <w:sz w:val="24"/>
        </w:rPr>
      </w:pPr>
      <w:r>
        <w:rPr>
          <w:rFonts w:ascii="Avenir Next LT Pro;sans-serif" w:hAnsi="Avenir Next LT Pro;sans-serif"/>
          <w:color w:val="000000"/>
          <w:sz w:val="24"/>
        </w:rPr>
        <w:t>Accepted and agreed:</w:t>
      </w:r>
    </w:p>
    <w:p>
      <w:pPr>
        <w:pStyle w:val="TextBody"/>
        <w:bidi w:val="0"/>
        <w:spacing w:before="240" w:after="240"/>
        <w:jc w:val="left"/>
        <w:rPr/>
      </w:pPr>
      <w:r>
        <w:rPr/>
        <w:t> </w:t>
      </w:r>
    </w:p>
    <w:p>
      <w:pPr>
        <w:pStyle w:val="TextBody"/>
        <w:bidi w:val="0"/>
        <w:spacing w:before="240" w:after="240"/>
        <w:jc w:val="left"/>
        <w:rPr>
          <w:rFonts w:ascii="Times New Roman" w:hAnsi="Times New Roman"/>
          <w:sz w:val="20"/>
        </w:rPr>
      </w:pPr>
      <w:r>
        <w:rPr>
          <w:rFonts w:ascii="Avenir Next LT Pro;sans-serif" w:hAnsi="Avenir Next LT Pro;sans-serif"/>
          <w:color w:val="000000"/>
          <w:sz w:val="24"/>
          <w:u w:val="single"/>
        </w:rPr>
        <w:t>_/s/</w:t>
      </w:r>
      <w:r>
        <w:rPr>
          <w:rFonts w:ascii="Times New Roman" w:hAnsi="Times New Roman"/>
          <w:color w:val="000000"/>
          <w:sz w:val="20"/>
          <w:u w:val="single"/>
        </w:rPr>
        <w:t xml:space="preserve"> </w:t>
      </w:r>
      <w:r>
        <w:rPr>
          <w:rFonts w:ascii="Avenir Next LT Pro;sans-serif" w:hAnsi="Avenir Next LT Pro;sans-serif"/>
          <w:color w:val="000000"/>
          <w:sz w:val="24"/>
          <w:u w:val="single"/>
        </w:rPr>
        <w:t>Stephen Gordon _</w:t>
      </w:r>
    </w:p>
    <w:p>
      <w:pPr>
        <w:pStyle w:val="TextBody"/>
        <w:bidi w:val="0"/>
        <w:spacing w:before="240" w:after="240"/>
        <w:jc w:val="left"/>
        <w:rPr>
          <w:rFonts w:ascii="Avenir Next LT Pro;sans-serif" w:hAnsi="Avenir Next LT Pro;sans-serif"/>
          <w:color w:val="000000"/>
          <w:sz w:val="24"/>
        </w:rPr>
      </w:pPr>
      <w:r>
        <w:rPr>
          <w:rFonts w:ascii="Avenir Next LT Pro;sans-serif" w:hAnsi="Avenir Next LT Pro;sans-serif"/>
          <w:color w:val="000000"/>
          <w:sz w:val="24"/>
        </w:rPr>
        <w:t>Stephen Gordon</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rFonts w:ascii="Times New Roman" w:hAnsi="Times New Roman"/>
          <w:sz w:val="20"/>
        </w:rPr>
      </w:pPr>
      <w:r>
        <w:rPr>
          <w:rFonts w:ascii="Avenir Next LT Pro;sans-serif" w:hAnsi="Avenir Next LT Pro;sans-serif"/>
          <w:color w:val="000000"/>
          <w:sz w:val="24"/>
        </w:rPr>
        <w:t>Date:</w:t>
      </w:r>
      <w:r>
        <w:rPr>
          <w:rFonts w:ascii="Times New Roman" w:hAnsi="Times New Roman"/>
          <w:color w:val="000000"/>
          <w:sz w:val="20"/>
          <w:u w:val="single"/>
        </w:rPr>
        <w:t xml:space="preserve"> </w:t>
      </w:r>
      <w:r>
        <w:rPr>
          <w:rFonts w:ascii="Avenir Next LT Pro;sans-serif" w:hAnsi="Avenir Next LT Pro;sans-serif"/>
          <w:color w:val="000000"/>
          <w:sz w:val="24"/>
          <w:u w:val="single"/>
        </w:rPr>
        <w:t>_December 2, 2024_</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center"/>
        <w:rPr>
          <w:rFonts w:ascii="Avenir Next LT Pro;sans-serif" w:hAnsi="Avenir Next LT Pro;sans-serif"/>
          <w:b/>
          <w:color w:val="4D4D50"/>
          <w:sz w:val="24"/>
          <w:u w:val="single"/>
        </w:rPr>
      </w:pPr>
      <w:r>
        <w:rPr>
          <w:rFonts w:ascii="Avenir Next LT Pro;sans-serif" w:hAnsi="Avenir Next LT Pro;sans-serif"/>
          <w:b/>
          <w:color w:val="4D4D50"/>
          <w:sz w:val="24"/>
          <w:u w:val="single"/>
        </w:rPr>
        <w:t>Exhibit A</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center"/>
        <w:rPr>
          <w:rFonts w:ascii="Avenir Next LT Pro;sans-serif" w:hAnsi="Avenir Next LT Pro;sans-serif"/>
          <w:b/>
          <w:color w:val="4D4D50"/>
          <w:sz w:val="24"/>
          <w:u w:val="single"/>
        </w:rPr>
      </w:pPr>
      <w:r>
        <w:rPr>
          <w:rFonts w:ascii="Avenir Next LT Pro;sans-serif" w:hAnsi="Avenir Next LT Pro;sans-serif"/>
          <w:b/>
          <w:color w:val="4D4D50"/>
          <w:sz w:val="24"/>
          <w:u w:val="single"/>
        </w:rPr>
        <w:t>Equity Awards</w:t>
      </w:r>
    </w:p>
    <w:p>
      <w:pPr>
        <w:pStyle w:val="TextBody"/>
        <w:bidi w:val="0"/>
        <w:spacing w:before="240" w:after="240"/>
        <w:jc w:val="center"/>
        <w:rPr/>
      </w:pPr>
      <w:r>
        <w:rPr/>
        <w:t> </w:t>
      </w:r>
    </w:p>
    <w:tbl>
      <w:tblPr>
        <w:tblW w:w="10205" w:type="dxa"/>
        <w:jc w:val="left"/>
        <w:tblInd w:w="0" w:type="dxa"/>
        <w:tblLayout w:type="fixed"/>
        <w:tblCellMar>
          <w:top w:w="28" w:type="dxa"/>
          <w:left w:w="28" w:type="dxa"/>
          <w:bottom w:w="28" w:type="dxa"/>
          <w:right w:w="28" w:type="dxa"/>
        </w:tblCellMar>
      </w:tblPr>
      <w:tblGrid>
        <w:gridCol w:w="1007"/>
        <w:gridCol w:w="1641"/>
        <w:gridCol w:w="2314"/>
        <w:gridCol w:w="2368"/>
        <w:gridCol w:w="2875"/>
      </w:tblGrid>
      <w:tr>
        <w:trPr/>
        <w:tc>
          <w:tcPr>
            <w:tcW w:w="1007" w:type="dxa"/>
            <w:tcBorders/>
            <w:shd w:fill="FFFFFF" w:val="clear"/>
            <w:vAlign w:val="center"/>
          </w:tcPr>
          <w:p>
            <w:pPr>
              <w:pStyle w:val="TableContents"/>
              <w:bidi w:val="0"/>
              <w:spacing w:before="0" w:after="283"/>
              <w:jc w:val="left"/>
              <w:rPr>
                <w:sz w:val="4"/>
                <w:szCs w:val="4"/>
              </w:rPr>
            </w:pPr>
            <w:r>
              <w:rPr>
                <w:sz w:val="4"/>
                <w:szCs w:val="4"/>
              </w:rPr>
            </w:r>
          </w:p>
        </w:tc>
        <w:tc>
          <w:tcPr>
            <w:tcW w:w="1641" w:type="dxa"/>
            <w:tcBorders/>
            <w:shd w:fill="FFFFFF" w:val="clear"/>
            <w:vAlign w:val="center"/>
          </w:tcPr>
          <w:p>
            <w:pPr>
              <w:pStyle w:val="TableContents"/>
              <w:bidi w:val="0"/>
              <w:spacing w:before="0" w:after="283"/>
              <w:jc w:val="left"/>
              <w:rPr>
                <w:sz w:val="4"/>
                <w:szCs w:val="4"/>
              </w:rPr>
            </w:pPr>
            <w:r>
              <w:rPr>
                <w:sz w:val="4"/>
                <w:szCs w:val="4"/>
              </w:rPr>
            </w:r>
          </w:p>
        </w:tc>
        <w:tc>
          <w:tcPr>
            <w:tcW w:w="2314" w:type="dxa"/>
            <w:tcBorders/>
            <w:shd w:fill="FFFFFF" w:val="clear"/>
            <w:vAlign w:val="center"/>
          </w:tcPr>
          <w:p>
            <w:pPr>
              <w:pStyle w:val="TableContents"/>
              <w:bidi w:val="0"/>
              <w:spacing w:before="0" w:after="283"/>
              <w:jc w:val="left"/>
              <w:rPr>
                <w:sz w:val="4"/>
                <w:szCs w:val="4"/>
              </w:rPr>
            </w:pPr>
            <w:r>
              <w:rPr>
                <w:sz w:val="4"/>
                <w:szCs w:val="4"/>
              </w:rPr>
            </w:r>
          </w:p>
        </w:tc>
        <w:tc>
          <w:tcPr>
            <w:tcW w:w="2368" w:type="dxa"/>
            <w:tcBorders/>
            <w:shd w:fill="FFFFFF" w:val="clear"/>
            <w:vAlign w:val="center"/>
          </w:tcPr>
          <w:p>
            <w:pPr>
              <w:pStyle w:val="TableContents"/>
              <w:bidi w:val="0"/>
              <w:spacing w:before="0" w:after="283"/>
              <w:jc w:val="left"/>
              <w:rPr>
                <w:sz w:val="4"/>
                <w:szCs w:val="4"/>
              </w:rPr>
            </w:pPr>
            <w:r>
              <w:rPr>
                <w:sz w:val="4"/>
                <w:szCs w:val="4"/>
              </w:rPr>
            </w:r>
          </w:p>
        </w:tc>
        <w:tc>
          <w:tcPr>
            <w:tcW w:w="2875" w:type="dxa"/>
            <w:tcBorders/>
            <w:shd w:fill="FFFFFF" w:val="clear"/>
            <w:vAlign w:val="center"/>
          </w:tcPr>
          <w:p>
            <w:pPr>
              <w:pStyle w:val="TableContents"/>
              <w:bidi w:val="0"/>
              <w:spacing w:before="0" w:after="283"/>
              <w:jc w:val="left"/>
              <w:rPr>
                <w:sz w:val="4"/>
                <w:szCs w:val="4"/>
              </w:rPr>
            </w:pPr>
            <w:r>
              <w:rPr>
                <w:sz w:val="4"/>
                <w:szCs w:val="4"/>
              </w:rPr>
            </w:r>
          </w:p>
        </w:tc>
      </w:tr>
      <w:tr>
        <w:trPr/>
        <w:tc>
          <w:tcPr>
            <w:tcW w:w="100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40" w:after="240"/>
              <w:jc w:val="center"/>
              <w:rPr>
                <w:rFonts w:ascii="Avenir Next LT Pro;sans-serif" w:hAnsi="Avenir Next LT Pro;sans-serif"/>
                <w:b/>
                <w:color w:val="4D4D50"/>
                <w:sz w:val="24"/>
              </w:rPr>
            </w:pPr>
            <w:r>
              <w:rPr>
                <w:rFonts w:ascii="Avenir Next LT Pro;sans-serif" w:hAnsi="Avenir Next LT Pro;sans-serif"/>
                <w:b/>
                <w:color w:val="4D4D50"/>
                <w:sz w:val="24"/>
              </w:rPr>
              <w:t>Grant Date</w:t>
            </w:r>
          </w:p>
        </w:tc>
        <w:tc>
          <w:tcPr>
            <w:tcW w:w="164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center"/>
              <w:rPr>
                <w:rFonts w:ascii="Avenir Next LT Pro;sans-serif" w:hAnsi="Avenir Next LT Pro;sans-serif"/>
                <w:b/>
                <w:color w:val="4D4D50"/>
                <w:sz w:val="24"/>
              </w:rPr>
            </w:pPr>
            <w:r>
              <w:rPr>
                <w:rFonts w:ascii="Avenir Next LT Pro;sans-serif" w:hAnsi="Avenir Next LT Pro;sans-serif"/>
                <w:b/>
                <w:color w:val="4D4D50"/>
                <w:sz w:val="24"/>
              </w:rPr>
              <w:t>Award Type (Stock Option/RSU)</w:t>
            </w:r>
          </w:p>
        </w:tc>
        <w:tc>
          <w:tcPr>
            <w:tcW w:w="231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center"/>
              <w:rPr>
                <w:rFonts w:ascii="Avenir Next LT Pro;sans-serif" w:hAnsi="Avenir Next LT Pro;sans-serif"/>
                <w:b/>
                <w:color w:val="4D4D50"/>
                <w:sz w:val="24"/>
              </w:rPr>
            </w:pPr>
            <w:r>
              <w:rPr>
                <w:rFonts w:ascii="Avenir Next LT Pro;sans-serif" w:hAnsi="Avenir Next LT Pro;sans-serif"/>
                <w:b/>
                <w:color w:val="4D4D50"/>
                <w:sz w:val="24"/>
              </w:rPr>
              <w:t>Number of Shares Underlying Vested Award*</w:t>
            </w:r>
          </w:p>
          <w:p>
            <w:pPr>
              <w:pStyle w:val="TableContents"/>
              <w:bidi w:val="0"/>
              <w:spacing w:before="240" w:after="240"/>
              <w:jc w:val="center"/>
              <w:rPr>
                <w:rFonts w:ascii="Avenir Next LT Pro;sans-serif" w:hAnsi="Avenir Next LT Pro;sans-serif"/>
                <w:b/>
                <w:color w:val="4D4D50"/>
                <w:sz w:val="24"/>
              </w:rPr>
            </w:pPr>
            <w:r>
              <w:rPr>
                <w:rFonts w:ascii="Avenir Next LT Pro;sans-serif" w:hAnsi="Avenir Next LT Pro;sans-serif"/>
                <w:b/>
                <w:color w:val="4D4D50"/>
                <w:sz w:val="24"/>
              </w:rPr>
              <w:t>(A)</w:t>
            </w:r>
          </w:p>
        </w:tc>
        <w:tc>
          <w:tcPr>
            <w:tcW w:w="236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center"/>
              <w:rPr>
                <w:rFonts w:ascii="Avenir Next LT Pro;sans-serif" w:hAnsi="Avenir Next LT Pro;sans-serif"/>
                <w:b/>
                <w:color w:val="4D4D50"/>
                <w:sz w:val="24"/>
              </w:rPr>
            </w:pPr>
            <w:r>
              <w:rPr>
                <w:rFonts w:ascii="Avenir Next LT Pro;sans-serif" w:hAnsi="Avenir Next LT Pro;sans-serif"/>
                <w:b/>
                <w:color w:val="4D4D50"/>
                <w:sz w:val="24"/>
              </w:rPr>
              <w:t>Number of Shares Underlying Unvested Award*</w:t>
            </w:r>
          </w:p>
          <w:p>
            <w:pPr>
              <w:pStyle w:val="TableContents"/>
              <w:bidi w:val="0"/>
              <w:spacing w:before="240" w:after="240"/>
              <w:jc w:val="center"/>
              <w:rPr>
                <w:rFonts w:ascii="Avenir Next LT Pro;sans-serif" w:hAnsi="Avenir Next LT Pro;sans-serif"/>
                <w:b/>
                <w:color w:val="4D4D50"/>
                <w:sz w:val="24"/>
              </w:rPr>
            </w:pPr>
            <w:r>
              <w:rPr>
                <w:rFonts w:ascii="Avenir Next LT Pro;sans-serif" w:hAnsi="Avenir Next LT Pro;sans-serif"/>
                <w:b/>
                <w:color w:val="4D4D50"/>
                <w:sz w:val="24"/>
              </w:rPr>
              <w:t>(B)</w:t>
            </w:r>
          </w:p>
        </w:tc>
        <w:tc>
          <w:tcPr>
            <w:tcW w:w="287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40" w:after="240"/>
              <w:jc w:val="center"/>
              <w:rPr>
                <w:rFonts w:ascii="Avenir Next LT Pro;sans-serif" w:hAnsi="Avenir Next LT Pro;sans-serif"/>
                <w:b/>
                <w:color w:val="4D4D50"/>
                <w:sz w:val="24"/>
              </w:rPr>
            </w:pPr>
            <w:r>
              <w:rPr>
                <w:rFonts w:ascii="Avenir Next LT Pro;sans-serif" w:hAnsi="Avenir Next LT Pro;sans-serif"/>
                <w:b/>
                <w:color w:val="4D4D50"/>
                <w:sz w:val="24"/>
              </w:rPr>
              <w:t>Total Number of Shares (Outstanding and Unreleased)*</w:t>
            </w:r>
          </w:p>
          <w:p>
            <w:pPr>
              <w:pStyle w:val="TableContents"/>
              <w:bidi w:val="0"/>
              <w:spacing w:before="240" w:after="240"/>
              <w:jc w:val="center"/>
              <w:rPr>
                <w:rFonts w:ascii="Avenir Next LT Pro;sans-serif" w:hAnsi="Avenir Next LT Pro;sans-serif"/>
                <w:b/>
                <w:color w:val="4D4D50"/>
                <w:sz w:val="24"/>
              </w:rPr>
            </w:pPr>
            <w:r>
              <w:rPr>
                <w:rFonts w:ascii="Avenir Next LT Pro;sans-serif" w:hAnsi="Avenir Next LT Pro;sans-serif"/>
                <w:b/>
                <w:color w:val="4D4D50"/>
                <w:sz w:val="24"/>
              </w:rPr>
              <w:t>(A+B)</w:t>
            </w:r>
          </w:p>
        </w:tc>
      </w:tr>
      <w:tr>
        <w:trPr/>
        <w:tc>
          <w:tcPr>
            <w:tcW w:w="100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02/23/2024</w:t>
            </w:r>
          </w:p>
        </w:tc>
        <w:tc>
          <w:tcPr>
            <w:tcW w:w="16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NQ Options</w:t>
            </w:r>
          </w:p>
        </w:tc>
        <w:tc>
          <w:tcPr>
            <w:tcW w:w="23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2,504</w:t>
            </w:r>
          </w:p>
        </w:tc>
        <w:tc>
          <w:tcPr>
            <w:tcW w:w="236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15,186</w:t>
            </w:r>
          </w:p>
        </w:tc>
        <w:tc>
          <w:tcPr>
            <w:tcW w:w="28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17,690</w:t>
            </w:r>
          </w:p>
        </w:tc>
      </w:tr>
      <w:tr>
        <w:trPr/>
        <w:tc>
          <w:tcPr>
            <w:tcW w:w="100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02/20/2023</w:t>
            </w:r>
          </w:p>
        </w:tc>
        <w:tc>
          <w:tcPr>
            <w:tcW w:w="16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NQ Options</w:t>
            </w:r>
          </w:p>
        </w:tc>
        <w:tc>
          <w:tcPr>
            <w:tcW w:w="23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3,758</w:t>
            </w:r>
          </w:p>
        </w:tc>
        <w:tc>
          <w:tcPr>
            <w:tcW w:w="236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11,264</w:t>
            </w:r>
          </w:p>
        </w:tc>
        <w:tc>
          <w:tcPr>
            <w:tcW w:w="28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15,022</w:t>
            </w:r>
          </w:p>
        </w:tc>
      </w:tr>
      <w:tr>
        <w:trPr/>
        <w:tc>
          <w:tcPr>
            <w:tcW w:w="100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02/22/2022</w:t>
            </w:r>
          </w:p>
        </w:tc>
        <w:tc>
          <w:tcPr>
            <w:tcW w:w="16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NQ Options</w:t>
            </w:r>
          </w:p>
        </w:tc>
        <w:tc>
          <w:tcPr>
            <w:tcW w:w="23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6,917</w:t>
            </w:r>
          </w:p>
        </w:tc>
        <w:tc>
          <w:tcPr>
            <w:tcW w:w="236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16,250</w:t>
            </w:r>
          </w:p>
        </w:tc>
        <w:tc>
          <w:tcPr>
            <w:tcW w:w="28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23,167</w:t>
            </w:r>
          </w:p>
        </w:tc>
      </w:tr>
      <w:tr>
        <w:trPr/>
        <w:tc>
          <w:tcPr>
            <w:tcW w:w="100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02/24/2021</w:t>
            </w:r>
          </w:p>
        </w:tc>
        <w:tc>
          <w:tcPr>
            <w:tcW w:w="16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NQ Options</w:t>
            </w:r>
          </w:p>
        </w:tc>
        <w:tc>
          <w:tcPr>
            <w:tcW w:w="23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11,042</w:t>
            </w:r>
          </w:p>
        </w:tc>
        <w:tc>
          <w:tcPr>
            <w:tcW w:w="236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4,375</w:t>
            </w:r>
          </w:p>
        </w:tc>
        <w:tc>
          <w:tcPr>
            <w:tcW w:w="28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15,417</w:t>
            </w:r>
          </w:p>
        </w:tc>
      </w:tr>
      <w:tr>
        <w:trPr/>
        <w:tc>
          <w:tcPr>
            <w:tcW w:w="100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02/27/2020</w:t>
            </w:r>
          </w:p>
        </w:tc>
        <w:tc>
          <w:tcPr>
            <w:tcW w:w="16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NQ Options</w:t>
            </w:r>
          </w:p>
        </w:tc>
        <w:tc>
          <w:tcPr>
            <w:tcW w:w="23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84</w:t>
            </w:r>
          </w:p>
        </w:tc>
        <w:tc>
          <w:tcPr>
            <w:tcW w:w="236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0</w:t>
            </w:r>
          </w:p>
        </w:tc>
        <w:tc>
          <w:tcPr>
            <w:tcW w:w="28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84</w:t>
            </w:r>
          </w:p>
        </w:tc>
      </w:tr>
      <w:tr>
        <w:trPr/>
        <w:tc>
          <w:tcPr>
            <w:tcW w:w="100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02/23/2024</w:t>
            </w:r>
          </w:p>
        </w:tc>
        <w:tc>
          <w:tcPr>
            <w:tcW w:w="16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RSU</w:t>
            </w:r>
          </w:p>
        </w:tc>
        <w:tc>
          <w:tcPr>
            <w:tcW w:w="23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0</w:t>
            </w:r>
          </w:p>
        </w:tc>
        <w:tc>
          <w:tcPr>
            <w:tcW w:w="236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12,127</w:t>
            </w:r>
          </w:p>
        </w:tc>
        <w:tc>
          <w:tcPr>
            <w:tcW w:w="28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12,127</w:t>
            </w:r>
          </w:p>
        </w:tc>
      </w:tr>
      <w:tr>
        <w:trPr/>
        <w:tc>
          <w:tcPr>
            <w:tcW w:w="100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02/20/2023</w:t>
            </w:r>
          </w:p>
        </w:tc>
        <w:tc>
          <w:tcPr>
            <w:tcW w:w="16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RSU</w:t>
            </w:r>
          </w:p>
        </w:tc>
        <w:tc>
          <w:tcPr>
            <w:tcW w:w="23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0</w:t>
            </w:r>
          </w:p>
        </w:tc>
        <w:tc>
          <w:tcPr>
            <w:tcW w:w="236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8,716</w:t>
            </w:r>
          </w:p>
        </w:tc>
        <w:tc>
          <w:tcPr>
            <w:tcW w:w="28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8,716</w:t>
            </w:r>
          </w:p>
        </w:tc>
      </w:tr>
      <w:tr>
        <w:trPr/>
        <w:tc>
          <w:tcPr>
            <w:tcW w:w="100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40" w:after="240"/>
              <w:jc w:val="center"/>
              <w:rPr/>
            </w:pPr>
            <w:r>
              <w:rPr/>
              <w:t> </w:t>
            </w:r>
          </w:p>
        </w:tc>
        <w:tc>
          <w:tcPr>
            <w:tcW w:w="16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pPr>
            <w:r>
              <w:rPr/>
              <w:t> </w:t>
            </w:r>
          </w:p>
        </w:tc>
        <w:tc>
          <w:tcPr>
            <w:tcW w:w="23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pPr>
            <w:r>
              <w:rPr/>
              <w:t> </w:t>
            </w:r>
          </w:p>
        </w:tc>
        <w:tc>
          <w:tcPr>
            <w:tcW w:w="236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pPr>
            <w:r>
              <w:rPr/>
              <w:t> </w:t>
            </w:r>
          </w:p>
        </w:tc>
        <w:tc>
          <w:tcPr>
            <w:tcW w:w="28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40" w:after="240"/>
              <w:jc w:val="center"/>
              <w:rPr/>
            </w:pPr>
            <w:r>
              <w:rPr/>
              <w:t> </w:t>
            </w:r>
          </w:p>
        </w:tc>
      </w:tr>
    </w:tbl>
    <w:p>
      <w:pPr>
        <w:pStyle w:val="TextBody"/>
        <w:bidi w:val="0"/>
        <w:spacing w:before="240" w:after="240"/>
        <w:jc w:val="both"/>
        <w:rPr>
          <w:rFonts w:ascii="Avenir Next LT Pro;sans-serif" w:hAnsi="Avenir Next LT Pro;sans-serif"/>
          <w:color w:val="4D4D50"/>
          <w:sz w:val="24"/>
        </w:rPr>
      </w:pPr>
      <w:r>
        <w:rPr>
          <w:rFonts w:ascii="Avenir Next LT Pro;sans-serif" w:hAnsi="Avenir Next LT Pro;sans-serif"/>
          <w:color w:val="4D4D50"/>
          <w:sz w:val="24"/>
        </w:rPr>
        <w:t>*Number of shares underlying vested stock options and unvested stock options and restricted stock units listed as of 12/01/2024.</w:t>
      </w:r>
    </w:p>
    <w:p>
      <w:pPr>
        <w:pStyle w:val="TextBody"/>
        <w:bidi w:val="0"/>
        <w:spacing w:before="240" w:after="240"/>
        <w:jc w:val="both"/>
        <w:rPr/>
      </w:pPr>
      <w:r>
        <w:rPr/>
        <w:t> </w:t>
      </w:r>
    </w:p>
    <w:p>
      <w:pPr>
        <w:pStyle w:val="TextBody"/>
        <w:bidi w:val="0"/>
        <w:spacing w:before="240" w:after="240"/>
        <w:jc w:val="both"/>
        <w:rPr/>
      </w:pPr>
      <w:r>
        <w:rPr/>
        <w:t> </w:t>
      </w:r>
    </w:p>
    <w:p>
      <w:pPr>
        <w:pStyle w:val="TextBody"/>
        <w:bidi w:val="0"/>
        <w:spacing w:before="240" w:after="240"/>
        <w:jc w:val="both"/>
        <w:rPr/>
      </w:pPr>
      <w:r>
        <w:rPr/>
        <w:t>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pPr>
      <w:r>
        <w:rPr/>
        <w:t> </w:t>
      </w:r>
    </w:p>
    <w:p>
      <w:pPr>
        <w:pStyle w:val="TextBody"/>
        <w:bidi w:val="0"/>
        <w:spacing w:before="240" w:after="240"/>
        <w:jc w:val="center"/>
        <w:rPr/>
      </w:pPr>
      <w:r>
        <w:rPr/>
        <w:t> </w:t>
      </w:r>
    </w:p>
    <w:p>
      <w:pPr>
        <w:pStyle w:val="TextBody"/>
        <w:bidi w:val="0"/>
        <w:spacing w:before="240" w:after="240"/>
        <w:jc w:val="center"/>
        <w:rPr>
          <w:rFonts w:ascii="Avenir Next LT Pro;sans-serif" w:hAnsi="Avenir Next LT Pro;sans-serif"/>
          <w:b/>
          <w:color w:val="4D4D50"/>
          <w:sz w:val="24"/>
          <w:u w:val="single"/>
        </w:rPr>
      </w:pPr>
      <w:r>
        <w:rPr>
          <w:rFonts w:ascii="Avenir Next LT Pro;sans-serif" w:hAnsi="Avenir Next LT Pro;sans-serif"/>
          <w:b/>
          <w:color w:val="4D4D50"/>
          <w:sz w:val="24"/>
          <w:u w:val="single"/>
        </w:rPr>
        <w:t>Exhibit B</w:t>
      </w:r>
    </w:p>
    <w:p>
      <w:pPr>
        <w:pStyle w:val="TextBody"/>
        <w:bidi w:val="0"/>
        <w:spacing w:before="240" w:after="240"/>
        <w:jc w:val="center"/>
        <w:rPr>
          <w:rFonts w:ascii="Times New Roman" w:hAnsi="Times New Roman"/>
          <w:sz w:val="20"/>
        </w:rPr>
      </w:pPr>
      <w:r>
        <w:rPr>
          <w:rFonts w:ascii="Avenir Next LT Pro;sans-serif" w:hAnsi="Avenir Next LT Pro;sans-serif"/>
          <w:b/>
          <w:color w:val="000000"/>
          <w:sz w:val="24"/>
          <w:u w:val="single"/>
        </w:rPr>
        <w:t>Release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Avenir Next LT Pro;sans-serif" w:hAnsi="Avenir Next LT Pro;sans-serif"/>
          <w:color w:val="000000"/>
          <w:sz w:val="24"/>
        </w:rPr>
        <w:t>For and in consideration of certain benefits to be provided to me under the letter agreement, dated November 26, 2024 (the “</w:t>
      </w:r>
      <w:r>
        <w:rPr>
          <w:rFonts w:ascii="Avenir Next LT Pro;sans-serif" w:hAnsi="Avenir Next LT Pro;sans-serif"/>
          <w:color w:val="000000"/>
          <w:sz w:val="24"/>
          <w:u w:val="single"/>
        </w:rPr>
        <w:t>Agreement</w:t>
      </w:r>
      <w:r>
        <w:rPr>
          <w:rFonts w:ascii="Times New Roman" w:hAnsi="Times New Roman"/>
          <w:color w:val="000000"/>
          <w:sz w:val="20"/>
        </w:rPr>
        <w:t>”</w:t>
      </w:r>
      <w:r>
        <w:rPr>
          <w:rFonts w:ascii="Avenir Next LT Pro;sans-serif" w:hAnsi="Avenir Next LT Pro;sans-serif"/>
          <w:color w:val="000000"/>
          <w:sz w:val="24"/>
        </w:rPr>
        <w:t>), between me and TransMedics, Inc. (the “</w:t>
      </w:r>
      <w:r>
        <w:rPr>
          <w:rFonts w:ascii="Avenir Next LT Pro;sans-serif" w:hAnsi="Avenir Next LT Pro;sans-serif"/>
          <w:color w:val="000000"/>
          <w:sz w:val="24"/>
          <w:u w:val="single"/>
        </w:rPr>
        <w:t>Company</w:t>
      </w:r>
      <w:r>
        <w:rPr>
          <w:rFonts w:ascii="Times New Roman" w:hAnsi="Times New Roman"/>
          <w:color w:val="000000"/>
          <w:sz w:val="20"/>
        </w:rPr>
        <w:t>”</w:t>
      </w:r>
      <w:r>
        <w:rPr>
          <w:rFonts w:ascii="Avenir Next LT Pro;sans-serif" w:hAnsi="Avenir Next LT Pro;sans-serif"/>
          <w:color w:val="000000"/>
          <w:sz w:val="24"/>
        </w:rPr>
        <w:t>), which are conditioned on my signing this General Release and Waiver of Claims (this “</w:t>
      </w:r>
      <w:r>
        <w:rPr>
          <w:rFonts w:ascii="Avenir Next LT Pro;sans-serif" w:hAnsi="Avenir Next LT Pro;sans-serif"/>
          <w:color w:val="000000"/>
          <w:sz w:val="24"/>
          <w:u w:val="single"/>
        </w:rPr>
        <w:t>Release of Claims</w:t>
      </w:r>
      <w:r>
        <w:rPr>
          <w:rFonts w:ascii="Times New Roman" w:hAnsi="Times New Roman"/>
          <w:color w:val="000000"/>
          <w:sz w:val="20"/>
        </w:rPr>
        <w:t>”</w:t>
      </w:r>
      <w:r>
        <w:rPr>
          <w:rFonts w:ascii="Avenir Next LT Pro;sans-serif" w:hAnsi="Avenir Next LT Pro;sans-serif"/>
          <w:color w:val="000000"/>
          <w:sz w:val="24"/>
        </w:rPr>
        <w:t>), and to which I am not otherwise entitled, and other good and valuable consideration, the receipt and sufficiency of which I hereby acknowledge, on my own behalf and on behalf of my heirs, executors, administrators, beneficiaries, representatives, successors and assigns, and all others connected with or claiming through me, I hereby release and forever discharge the Company, and all of its past, present and future officers, directors, shareholders, employees, employee benefits plans, administrators, trustees, agents, representatives, consultants, successors and assigns, and all those connected with any of them, in their official and individual capacities (collectively, the “</w:t>
      </w:r>
      <w:r>
        <w:rPr>
          <w:rFonts w:ascii="Avenir Next LT Pro;sans-serif" w:hAnsi="Avenir Next LT Pro;sans-serif"/>
          <w:color w:val="000000"/>
          <w:sz w:val="24"/>
          <w:u w:val="single"/>
        </w:rPr>
        <w:t>Released Parties</w:t>
      </w:r>
      <w:r>
        <w:rPr>
          <w:rFonts w:ascii="Times New Roman" w:hAnsi="Times New Roman"/>
          <w:color w:val="000000"/>
          <w:sz w:val="20"/>
        </w:rPr>
        <w:t>”</w:t>
      </w:r>
      <w:r>
        <w:rPr>
          <w:rFonts w:ascii="Avenir Next LT Pro;sans-serif" w:hAnsi="Avenir Next LT Pro;sans-serif"/>
          <w:color w:val="000000"/>
          <w:sz w:val="24"/>
        </w:rPr>
        <w:t>), from any and all causes of action, suits, rights and claims, demands, damages and compensation of any kind and nature whatsoever, whether at law or in equity, whether now known or unknown, suspected or unsuspected, contingent or otherwise, which I now have or ever have had against the Released Parties, or any of them, including those in any way related to, connected with or arising out of my employment and/or other relationship with the Company or any of its affiliates or the termination thereof, including under or pursuant to Title VII of the Civil Rights Act, the Americans With Disabilities Act, the Family and Medical Leave Act, the Age Discrimination in Employment Act (as amended by the Older Workers Benefit Protection Act), the Employee Retirement Income Security Act, the wage and hour, wage payment and fair employment practices laws of the state or states in which I have provided services to the Company (each, as amended from time to time) and/or any other federal, state or local law, regulation, or other requirement (collectively, the “</w:t>
      </w:r>
      <w:r>
        <w:rPr>
          <w:rFonts w:ascii="Avenir Next LT Pro;sans-serif" w:hAnsi="Avenir Next LT Pro;sans-serif"/>
          <w:color w:val="000000"/>
          <w:sz w:val="24"/>
          <w:u w:val="single"/>
        </w:rPr>
        <w:t>Claims</w:t>
      </w:r>
      <w:r>
        <w:rPr>
          <w:rFonts w:ascii="Times New Roman" w:hAnsi="Times New Roman"/>
          <w:color w:val="000000"/>
          <w:sz w:val="20"/>
        </w:rPr>
        <w:t>”</w:t>
      </w:r>
      <w:r>
        <w:rPr>
          <w:rFonts w:ascii="Avenir Next LT Pro;sans-serif" w:hAnsi="Avenir Next LT Pro;sans-serif"/>
          <w:color w:val="000000"/>
          <w:sz w:val="24"/>
        </w:rPr>
        <w:t>) through the date that I sign this Release of Claims, and I hereby waive all such Claims.</w:t>
      </w:r>
    </w:p>
    <w:p>
      <w:pPr>
        <w:pStyle w:val="TextBody"/>
        <w:bidi w:val="0"/>
        <w:spacing w:before="240" w:after="240"/>
        <w:jc w:val="both"/>
        <w:rPr>
          <w:rFonts w:ascii="Times New Roman" w:hAnsi="Times New Roman"/>
          <w:sz w:val="20"/>
        </w:rPr>
      </w:pPr>
      <w:r>
        <w:rPr>
          <w:rFonts w:ascii="Avenir Next LT Pro;sans-serif" w:hAnsi="Avenir Next LT Pro;sans-serif"/>
          <w:color w:val="000000"/>
          <w:sz w:val="24"/>
        </w:rPr>
        <w:t xml:space="preserve">I understand that nothing contained in this Release of Claims shall be construed to prohibit me from filing a charge with or participating in any investigation or proceeding conducted by the federal Equal Employment Opportunity Commission or a comparable state or local agency, provided, however, that I hereby agree to waive my right to recover monetary damages or other individual relief in any charge, complaint or lawsuit filed by me or by anyone else on my behalf; provided, further, however, that I am not waiving any right to seek and receive a financial incentive award for any information I provide to a governmental agency or entity. I further understand that nothing contained in this Release of Claims shall be construed to </w:t>
      </w:r>
      <w:r>
        <w:rPr>
          <w:rFonts w:ascii="Avenir Next LT Pro;sans-serif" w:hAnsi="Avenir Next LT Pro;sans-serif"/>
          <w:color w:val="4D4D50"/>
          <w:sz w:val="24"/>
        </w:rPr>
        <w:t>limit, restrict or in any other way affect my communicating</w:t>
      </w:r>
      <w:r>
        <w:rPr>
          <w:rFonts w:ascii="Times New Roman" w:hAnsi="Times New Roman"/>
          <w:color w:val="4D4D5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Avenir Next LT Pro;sans-serif" w:hAnsi="Avenir Next LT Pro;sans-serif"/>
          <w:color w:val="4D4D50"/>
          <w:sz w:val="24"/>
        </w:rPr>
        <w:t>with any governmental agency or entity, or communicating with any official or staff person of a governmental agency or entity, concerning matters relevant to the governmental agency or entity.</w:t>
      </w:r>
      <w:r>
        <w:rPr>
          <w:rFonts w:ascii="Times New Roman" w:hAnsi="Times New Roman"/>
          <w:color w:val="4D4D50"/>
          <w:sz w:val="20"/>
        </w:rPr>
        <w:t xml:space="preserve"> </w:t>
      </w:r>
    </w:p>
    <w:p>
      <w:pPr>
        <w:pStyle w:val="TextBody"/>
        <w:bidi w:val="0"/>
        <w:spacing w:before="240" w:after="240"/>
        <w:jc w:val="both"/>
        <w:rPr>
          <w:rFonts w:ascii="Times New Roman" w:hAnsi="Times New Roman"/>
          <w:sz w:val="20"/>
        </w:rPr>
      </w:pPr>
      <w:r>
        <w:rPr>
          <w:rFonts w:ascii="Avenir Next LT Pro;sans-serif" w:hAnsi="Avenir Next LT Pro;sans-serif"/>
          <w:color w:val="000000"/>
          <w:sz w:val="24"/>
        </w:rPr>
        <w:t>I acknowledge that I will continue to be bound by my obligations under the Agreement and the Non-Competition Agreement (as defined in the Agreement) that survive the termination of my employment by the terms thereof or by necessary implication, including without limitation my confidentiality, non-competition and non-solicitation obligations set forth in the Agreement and the Non-Competition Agreement.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Avenir Next LT Pro;sans-serif" w:hAnsi="Avenir Next LT Pro;sans-serif"/>
          <w:color w:val="000000"/>
          <w:sz w:val="24"/>
        </w:rPr>
        <w:t xml:space="preserve">I understand that nothing contained in this Release of Claims will adversely affect my rights to enforce the terms of the Agreement, and shall not adversely affect my rights to any </w:t>
      </w:r>
      <w:r>
        <w:rPr>
          <w:rFonts w:ascii="Avenir Next LT Pro;sans-serif" w:hAnsi="Avenir Next LT Pro;sans-serif"/>
          <w:color w:val="4D4D50"/>
          <w:sz w:val="24"/>
        </w:rPr>
        <w:t xml:space="preserve">defense, indemnification, contribution and/or coverage </w:t>
      </w:r>
      <w:r>
        <w:rPr>
          <w:rFonts w:ascii="Avenir Next LT Pro;sans-serif" w:hAnsi="Avenir Next LT Pro;sans-serif"/>
          <w:color w:val="000000"/>
          <w:sz w:val="24"/>
        </w:rPr>
        <w:t xml:space="preserve">under the Company’s director’s and officer’s liability insurance policy, the charter or bylaws of the Company, or any other source, in each case, in accordance with its respective terms by reason of services I rendered for the Company or any of its subsidiaries as an officer and/or an employee thereof. </w:t>
      </w:r>
      <w:r>
        <w:rPr>
          <w:rFonts w:ascii="Avenir Next LT Pro;sans-serif" w:hAnsi="Avenir Next LT Pro;sans-serif"/>
          <w:color w:val="4D4D50"/>
          <w:sz w:val="24"/>
        </w:rPr>
        <w:t>Further, this release does not include and will not preclude: (a) rights to vested benefits under any applicable employee benefit plans of the Company; (b) rights under the Equity Documents (as defined in the Agreement) and/or (c) claims that cannot be waived under applicable law by signing this Release of Claims.</w:t>
      </w:r>
    </w:p>
    <w:p>
      <w:pPr>
        <w:pStyle w:val="TextBody"/>
        <w:bidi w:val="0"/>
        <w:spacing w:before="0" w:after="120"/>
        <w:jc w:val="both"/>
        <w:rPr>
          <w:rFonts w:ascii="Times New Roman" w:hAnsi="Times New Roman"/>
          <w:sz w:val="20"/>
        </w:rPr>
      </w:pPr>
      <w:r>
        <w:rPr>
          <w:rFonts w:ascii="Avenir Next LT Pro;sans-serif" w:hAnsi="Avenir Next LT Pro;sans-serif"/>
          <w:color w:val="000000"/>
          <w:sz w:val="24"/>
        </w:rPr>
        <w:t xml:space="preserve">I acknowledge that this Release of Claims creates legally binding obligations, and that the Company has advised me to consult an attorney before signing it. </w:t>
      </w:r>
      <w:r>
        <w:rPr>
          <w:rFonts w:ascii="Avenir Next LT Pro;sans-serif" w:hAnsi="Avenir Next LT Pro;sans-serif"/>
          <w:b/>
          <w:color w:val="000000"/>
          <w:sz w:val="24"/>
        </w:rPr>
        <w:t xml:space="preserve">I understand that I cannot sign this Release of Claims until the date my employment or service, as applicable, with the Company terminates. </w:t>
      </w:r>
      <w:r>
        <w:rPr>
          <w:rFonts w:ascii="Avenir Next LT Pro;sans-serif" w:hAnsi="Avenir Next LT Pro;sans-serif"/>
          <w:color w:val="000000"/>
          <w:sz w:val="24"/>
        </w:rPr>
        <w:t>In signing this Release of Claims, I give the Company assurance that I have signed it voluntarily and with a full understanding of its terms; that I have had sufficient opportunity of not less than twenty-one (21) days before signing this Release of Claims to consider its terms and to consult with an attorney, if I wished to do so; and that I have not relied on any promises or representations, express or implied, that are not set forth expressly in this Release of Claims. I understand that I will have seven (7) days after signing this Release of Claims to revoke my signature, and that, if I intend to revoke my signature, I must do so in writing addressed and delivered to the Chief Legal Officer of the Company prior to the end of the seven (7)-day revocation period. I understand that this Release of Claims will become effective upon the eighth (8</w:t>
      </w:r>
      <w:r>
        <w:rPr>
          <w:rFonts w:ascii="Avenir Next LT Pro;sans-serif" w:hAnsi="Avenir Next LT Pro;sans-serif"/>
          <w:color w:val="000000"/>
          <w:sz w:val="16"/>
        </w:rPr>
        <w:t>th</w:t>
      </w:r>
      <w:r>
        <w:rPr>
          <w:rFonts w:ascii="Avenir Next LT Pro;sans-serif" w:hAnsi="Avenir Next LT Pro;sans-serif"/>
          <w:color w:val="000000"/>
          <w:sz w:val="24"/>
        </w:rPr>
        <w:t>) day following the date that I sign it, provided, that I do not revoke my acceptance in accordance with the immediately preceding sentence.</w:t>
      </w:r>
      <w:r>
        <w:rPr>
          <w:rFonts w:ascii="Times New Roman" w:hAnsi="Times New Roman"/>
          <w:color w:val="000000"/>
          <w:sz w:val="20"/>
        </w:rPr>
        <w:t xml:space="preserve"> </w:t>
      </w:r>
    </w:p>
    <w:p>
      <w:pPr>
        <w:pStyle w:val="TextBody"/>
        <w:bidi w:val="0"/>
        <w:spacing w:before="0" w:after="120"/>
        <w:jc w:val="both"/>
        <w:rPr/>
      </w:pPr>
      <w:r>
        <w:rPr/>
        <w:t> </w:t>
      </w:r>
    </w:p>
    <w:p>
      <w:pPr>
        <w:pStyle w:val="TextBody"/>
        <w:bidi w:val="0"/>
        <w:spacing w:before="240" w:after="240"/>
        <w:jc w:val="center"/>
        <w:rPr>
          <w:rFonts w:ascii="Avenir Next LT Pro;sans-serif" w:hAnsi="Avenir Next LT Pro;sans-serif"/>
          <w:i/>
          <w:color w:val="000000"/>
          <w:sz w:val="24"/>
        </w:rPr>
      </w:pPr>
      <w:r>
        <w:rPr>
          <w:rFonts w:ascii="Avenir Next LT Pro;sans-serif" w:hAnsi="Avenir Next LT Pro;sans-serif"/>
          <w:i/>
          <w:color w:val="000000"/>
          <w:sz w:val="24"/>
        </w:rPr>
        <w:t>[Remainder of page intentionally left blank.]</w:t>
      </w:r>
    </w:p>
    <w:p>
      <w:pPr>
        <w:pStyle w:val="TextBody"/>
        <w:bidi w:val="0"/>
        <w:spacing w:before="0" w:after="120"/>
        <w:jc w:val="both"/>
        <w:rPr/>
      </w:pPr>
      <w:r>
        <w:rPr/>
        <w:t> </w:t>
      </w:r>
    </w:p>
    <w:p>
      <w:pPr>
        <w:pStyle w:val="TextBody"/>
        <w:bidi w:val="0"/>
        <w:spacing w:before="0" w:after="120"/>
        <w:jc w:val="both"/>
        <w:rPr/>
      </w:pPr>
      <w:r>
        <w:rPr/>
        <w:t>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0" w:after="120"/>
        <w:jc w:val="both"/>
        <w:rPr/>
      </w:pPr>
      <w:r>
        <w:rPr/>
        <w:t> </w:t>
      </w:r>
    </w:p>
    <w:p>
      <w:pPr>
        <w:pStyle w:val="TextBody"/>
        <w:bidi w:val="0"/>
        <w:jc w:val="left"/>
        <w:rPr/>
      </w:pPr>
      <w:r>
        <w:rPr/>
        <w:t> </w:t>
      </w:r>
    </w:p>
    <w:p>
      <w:pPr>
        <w:pStyle w:val="TextBody"/>
        <w:bidi w:val="0"/>
        <w:jc w:val="left"/>
        <w:rPr/>
      </w:pPr>
      <w:r>
        <w:rPr/>
        <w:t> </w:t>
      </w:r>
    </w:p>
    <w:tbl>
      <w:tblPr>
        <w:tblW w:w="2819" w:type="dxa"/>
        <w:jc w:val="left"/>
        <w:tblInd w:w="0" w:type="dxa"/>
        <w:tblLayout w:type="fixed"/>
        <w:tblCellMar>
          <w:top w:w="28" w:type="dxa"/>
          <w:left w:w="28" w:type="dxa"/>
          <w:bottom w:w="28" w:type="dxa"/>
          <w:right w:w="28" w:type="dxa"/>
        </w:tblCellMar>
      </w:tblPr>
      <w:tblGrid>
        <w:gridCol w:w="2257"/>
        <w:gridCol w:w="243"/>
        <w:gridCol w:w="319"/>
      </w:tblGrid>
      <w:tr>
        <w:trPr/>
        <w:tc>
          <w:tcPr>
            <w:tcW w:w="225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257" w:type="dxa"/>
            <w:tcBorders/>
            <w:shd w:fill="FFFFFF" w:val="clear"/>
            <w:tcMar>
              <w:top w:w="0" w:type="dxa"/>
              <w:left w:w="0" w:type="dxa"/>
              <w:bottom w:w="0" w:type="dxa"/>
              <w:right w:w="0" w:type="dxa"/>
            </w:tcMar>
            <w:vAlign w:val="center"/>
          </w:tcPr>
          <w:p>
            <w:pPr>
              <w:pStyle w:val="TableContents"/>
              <w:bidi w:val="0"/>
              <w:spacing w:before="240" w:after="240"/>
              <w:jc w:val="both"/>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240" w:after="240"/>
              <w:jc w:val="both"/>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240" w:after="240"/>
              <w:jc w:val="both"/>
              <w:rPr/>
            </w:pPr>
            <w:r>
              <w:rPr/>
              <w:t> </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240" w:after="240"/>
              <w:jc w:val="both"/>
              <w:rPr>
                <w:rFonts w:ascii="Avenir Next LT Pro;sans-serif" w:hAnsi="Avenir Next LT Pro;sans-serif"/>
                <w:color w:val="4D4D50"/>
                <w:sz w:val="24"/>
              </w:rPr>
            </w:pPr>
            <w:r>
              <w:rPr>
                <w:rFonts w:ascii="Avenir Next LT Pro;sans-serif" w:hAnsi="Avenir Next LT Pro;sans-serif"/>
                <w:color w:val="4D4D50"/>
                <w:sz w:val="24"/>
              </w:rPr>
              <w:t>Accepted and agreed:</w:t>
            </w:r>
          </w:p>
        </w:tc>
      </w:tr>
      <w:tr>
        <w:trPr/>
        <w:tc>
          <w:tcPr>
            <w:tcW w:w="2257" w:type="dxa"/>
            <w:tcBorders/>
            <w:shd w:fill="FFFFFF" w:val="clear"/>
            <w:tcMar>
              <w:top w:w="0" w:type="dxa"/>
              <w:left w:w="0" w:type="dxa"/>
              <w:bottom w:w="0" w:type="dxa"/>
              <w:right w:w="0" w:type="dxa"/>
            </w:tcMar>
            <w:vAlign w:val="center"/>
          </w:tcPr>
          <w:p>
            <w:pPr>
              <w:pStyle w:val="TableContents"/>
              <w:bidi w:val="0"/>
              <w:spacing w:before="240" w:after="240"/>
              <w:jc w:val="both"/>
              <w:rPr/>
            </w:pPr>
            <w:r>
              <w:rPr/>
              <w:t> </w:t>
            </w:r>
          </w:p>
        </w:tc>
        <w:tc>
          <w:tcPr>
            <w:tcW w:w="562" w:type="dxa"/>
            <w:gridSpan w:val="2"/>
            <w:tcBorders/>
            <w:shd w:fill="FFFFFF" w:val="clear"/>
            <w:tcMar>
              <w:top w:w="0" w:type="dxa"/>
              <w:left w:w="0" w:type="dxa"/>
              <w:bottom w:w="0" w:type="dxa"/>
              <w:right w:w="0" w:type="dxa"/>
            </w:tcMar>
            <w:vAlign w:val="center"/>
          </w:tcPr>
          <w:p>
            <w:pPr>
              <w:pStyle w:val="TableContents"/>
              <w:bidi w:val="0"/>
              <w:spacing w:before="240" w:after="240"/>
              <w:jc w:val="both"/>
              <w:rPr/>
            </w:pPr>
            <w:r>
              <w:rPr/>
              <w:t> </w:t>
            </w:r>
          </w:p>
        </w:tc>
      </w:tr>
      <w:tr>
        <w:trPr/>
        <w:tc>
          <w:tcPr>
            <w:tcW w:w="2257" w:type="dxa"/>
            <w:tcBorders/>
            <w:shd w:fill="FFFFFF" w:val="clear"/>
            <w:tcMar>
              <w:top w:w="0" w:type="dxa"/>
              <w:left w:w="0" w:type="dxa"/>
              <w:bottom w:w="0" w:type="dxa"/>
              <w:right w:w="0" w:type="dxa"/>
            </w:tcMar>
            <w:vAlign w:val="center"/>
          </w:tcPr>
          <w:p>
            <w:pPr>
              <w:pStyle w:val="TableContents"/>
              <w:bidi w:val="0"/>
              <w:spacing w:before="240" w:after="240"/>
              <w:jc w:val="both"/>
              <w:rPr>
                <w:rFonts w:ascii="Avenir Next LT Pro;sans-serif" w:hAnsi="Avenir Next LT Pro;sans-serif"/>
                <w:color w:val="4D4D50"/>
                <w:sz w:val="24"/>
              </w:rPr>
            </w:pPr>
            <w:r>
              <w:rPr>
                <w:rFonts w:ascii="Avenir Next LT Pro;sans-serif" w:hAnsi="Avenir Next LT Pro;sans-serif"/>
                <w:color w:val="4D4D50"/>
                <w:sz w:val="24"/>
              </w:rPr>
              <w:t>Signature:</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tcBorders/>
            <w:shd w:fill="FFFFFF" w:val="clear"/>
            <w:tcMar>
              <w:top w:w="0" w:type="dxa"/>
              <w:left w:w="0" w:type="dxa"/>
              <w:bottom w:w="0" w:type="dxa"/>
              <w:right w:w="0" w:type="dxa"/>
            </w:tcMar>
            <w:vAlign w:val="center"/>
          </w:tcPr>
          <w:p>
            <w:pPr>
              <w:pStyle w:val="TableContents"/>
              <w:bidi w:val="0"/>
              <w:spacing w:before="240" w:after="240"/>
              <w:jc w:val="both"/>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before="240" w:after="240"/>
              <w:jc w:val="both"/>
              <w:rPr/>
            </w:pPr>
            <w:r>
              <w:rPr/>
              <w:t> </w:t>
            </w:r>
          </w:p>
        </w:tc>
      </w:tr>
      <w:tr>
        <w:trPr/>
        <w:tc>
          <w:tcPr>
            <w:tcW w:w="2257" w:type="dxa"/>
            <w:tcBorders/>
            <w:shd w:fill="FFFFFF" w:val="clear"/>
            <w:tcMar>
              <w:top w:w="0" w:type="dxa"/>
              <w:left w:w="0" w:type="dxa"/>
              <w:bottom w:w="0" w:type="dxa"/>
              <w:right w:w="0" w:type="dxa"/>
            </w:tcMar>
            <w:vAlign w:val="center"/>
          </w:tcPr>
          <w:p>
            <w:pPr>
              <w:pStyle w:val="TableContents"/>
              <w:bidi w:val="0"/>
              <w:spacing w:before="240" w:after="240"/>
              <w:jc w:val="both"/>
              <w:rPr/>
            </w:pPr>
            <w:r>
              <w:rPr/>
              <w:t> </w:t>
            </w:r>
          </w:p>
        </w:tc>
        <w:tc>
          <w:tcPr>
            <w:tcW w:w="562" w:type="dxa"/>
            <w:gridSpan w:val="2"/>
            <w:tcBorders/>
            <w:shd w:fill="FFFFFF" w:val="clear"/>
            <w:tcMar>
              <w:top w:w="0" w:type="dxa"/>
              <w:left w:w="0" w:type="dxa"/>
              <w:bottom w:w="0" w:type="dxa"/>
              <w:right w:w="0" w:type="dxa"/>
            </w:tcMar>
            <w:vAlign w:val="center"/>
          </w:tcPr>
          <w:p>
            <w:pPr>
              <w:pStyle w:val="TableContents"/>
              <w:bidi w:val="0"/>
              <w:spacing w:before="240" w:after="240"/>
              <w:jc w:val="both"/>
              <w:rPr/>
            </w:pPr>
            <w:r>
              <w:rPr/>
              <w:t> </w:t>
            </w:r>
          </w:p>
        </w:tc>
      </w:tr>
      <w:tr>
        <w:trPr/>
        <w:tc>
          <w:tcPr>
            <w:tcW w:w="2257" w:type="dxa"/>
            <w:tcBorders/>
            <w:shd w:fill="FFFFFF" w:val="clear"/>
            <w:tcMar>
              <w:top w:w="0" w:type="dxa"/>
              <w:left w:w="0" w:type="dxa"/>
              <w:bottom w:w="0" w:type="dxa"/>
              <w:right w:w="0" w:type="dxa"/>
            </w:tcMar>
            <w:vAlign w:val="center"/>
          </w:tcPr>
          <w:p>
            <w:pPr>
              <w:pStyle w:val="TableContents"/>
              <w:bidi w:val="0"/>
              <w:spacing w:before="240" w:after="240"/>
              <w:jc w:val="both"/>
              <w:rPr>
                <w:rFonts w:ascii="Avenir Next LT Pro;sans-serif" w:hAnsi="Avenir Next LT Pro;sans-serif"/>
                <w:color w:val="4D4D50"/>
                <w:sz w:val="24"/>
              </w:rPr>
            </w:pPr>
            <w:r>
              <w:rPr>
                <w:rFonts w:ascii="Avenir Next LT Pro;sans-serif" w:hAnsi="Avenir Next LT Pro;sans-serif"/>
                <w:color w:val="4D4D50"/>
                <w:sz w:val="24"/>
              </w:rPr>
              <w:t>Date:</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both"/>
        <w:rPr/>
      </w:pPr>
      <w:r>
        <w:rPr/>
        <w:t> </w:t>
      </w:r>
    </w:p>
    <w:tbl>
      <w:tblPr>
        <w:tblW w:w="3795" w:type="dxa"/>
        <w:jc w:val="left"/>
        <w:tblInd w:w="0" w:type="dxa"/>
        <w:tblLayout w:type="fixed"/>
        <w:tblCellMar>
          <w:top w:w="28" w:type="dxa"/>
          <w:left w:w="28" w:type="dxa"/>
          <w:bottom w:w="28" w:type="dxa"/>
          <w:right w:w="28" w:type="dxa"/>
        </w:tblCellMar>
      </w:tblPr>
      <w:tblGrid>
        <w:gridCol w:w="1226"/>
        <w:gridCol w:w="1112"/>
        <w:gridCol w:w="1457"/>
      </w:tblGrid>
      <w:tr>
        <w:trPr/>
        <w:tc>
          <w:tcPr>
            <w:tcW w:w="122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r>
      <w:tr>
        <w:trPr/>
        <w:tc>
          <w:tcPr>
            <w:tcW w:w="1226" w:type="dxa"/>
            <w:tcBorders/>
            <w:shd w:fill="FFFFFF" w:val="clear"/>
            <w:tcMar>
              <w:top w:w="0" w:type="dxa"/>
              <w:left w:w="0" w:type="dxa"/>
              <w:bottom w:w="0" w:type="dxa"/>
              <w:right w:w="0" w:type="dxa"/>
            </w:tcMar>
            <w:vAlign w:val="center"/>
          </w:tcPr>
          <w:p>
            <w:pPr>
              <w:pStyle w:val="TableContents"/>
              <w:bidi w:val="0"/>
              <w:spacing w:before="240" w:after="240"/>
              <w:jc w:val="both"/>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240" w:after="240"/>
              <w:jc w:val="both"/>
              <w:rPr/>
            </w:pPr>
            <w:r>
              <w:rPr/>
              <w:t> </w:t>
            </w:r>
          </w:p>
        </w:tc>
        <w:tc>
          <w:tcPr>
            <w:tcW w:w="1457" w:type="dxa"/>
            <w:tcBorders/>
            <w:shd w:fill="FFFFFF" w:val="clear"/>
            <w:tcMar>
              <w:top w:w="0" w:type="dxa"/>
              <w:left w:w="0" w:type="dxa"/>
              <w:bottom w:w="0" w:type="dxa"/>
              <w:right w:w="0" w:type="dxa"/>
            </w:tcMar>
            <w:vAlign w:val="center"/>
          </w:tcPr>
          <w:p>
            <w:pPr>
              <w:pStyle w:val="TableContents"/>
              <w:bidi w:val="0"/>
              <w:spacing w:before="240" w:after="240"/>
              <w:jc w:val="both"/>
              <w:rPr/>
            </w:pPr>
            <w:r>
              <w:rPr/>
              <w:t> </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240" w:after="240"/>
              <w:jc w:val="both"/>
              <w:rPr/>
            </w:pPr>
            <w:r>
              <w:rPr/>
              <w:t> </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240" w:after="240"/>
              <w:jc w:val="both"/>
              <w:rPr>
                <w:rFonts w:ascii="Avenir Next LT Pro;sans-serif" w:hAnsi="Avenir Next LT Pro;sans-serif"/>
                <w:color w:val="4D4D50"/>
                <w:sz w:val="24"/>
              </w:rPr>
            </w:pPr>
            <w:r>
              <w:rPr>
                <w:rFonts w:ascii="Avenir Next LT Pro;sans-serif" w:hAnsi="Avenir Next LT Pro;sans-serif"/>
                <w:color w:val="4D4D50"/>
                <w:sz w:val="24"/>
              </w:rPr>
              <w:t>Agreed and acknowledged by:</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240" w:after="240"/>
              <w:jc w:val="both"/>
              <w:rPr/>
            </w:pPr>
            <w:r>
              <w:rPr/>
              <w:t> </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240" w:after="240"/>
              <w:jc w:val="both"/>
              <w:rPr>
                <w:rFonts w:ascii="Avenir Next LT Pro;sans-serif" w:hAnsi="Avenir Next LT Pro;sans-serif"/>
                <w:color w:val="4D4D50"/>
                <w:sz w:val="24"/>
              </w:rPr>
            </w:pPr>
            <w:r>
              <w:rPr>
                <w:rFonts w:ascii="Avenir Next LT Pro;sans-serif" w:hAnsi="Avenir Next LT Pro;sans-serif"/>
                <w:color w:val="4D4D50"/>
                <w:sz w:val="24"/>
              </w:rPr>
              <w:t>TRANSMEDICS, INC.</w:t>
            </w:r>
          </w:p>
        </w:tc>
      </w:tr>
      <w:tr>
        <w:trPr/>
        <w:tc>
          <w:tcPr>
            <w:tcW w:w="1226" w:type="dxa"/>
            <w:tcBorders/>
            <w:shd w:fill="FFFFFF" w:val="clear"/>
            <w:tcMar>
              <w:top w:w="0" w:type="dxa"/>
              <w:left w:w="0" w:type="dxa"/>
              <w:bottom w:w="0" w:type="dxa"/>
              <w:right w:w="0" w:type="dxa"/>
            </w:tcMar>
            <w:vAlign w:val="center"/>
          </w:tcPr>
          <w:p>
            <w:pPr>
              <w:pStyle w:val="TableContents"/>
              <w:bidi w:val="0"/>
              <w:spacing w:before="240" w:after="240"/>
              <w:jc w:val="both"/>
              <w:rPr/>
            </w:pPr>
            <w:r>
              <w:rPr/>
              <w:t> </w:t>
            </w:r>
          </w:p>
        </w:tc>
        <w:tc>
          <w:tcPr>
            <w:tcW w:w="2569" w:type="dxa"/>
            <w:gridSpan w:val="2"/>
            <w:tcBorders/>
            <w:shd w:fill="FFFFFF" w:val="clear"/>
            <w:tcMar>
              <w:top w:w="0" w:type="dxa"/>
              <w:left w:w="0" w:type="dxa"/>
              <w:bottom w:w="0" w:type="dxa"/>
              <w:right w:w="0" w:type="dxa"/>
            </w:tcMar>
            <w:vAlign w:val="center"/>
          </w:tcPr>
          <w:p>
            <w:pPr>
              <w:pStyle w:val="TableContents"/>
              <w:bidi w:val="0"/>
              <w:spacing w:before="240" w:after="240"/>
              <w:jc w:val="both"/>
              <w:rPr/>
            </w:pPr>
            <w:r>
              <w:rPr/>
              <w:t> </w:t>
            </w:r>
          </w:p>
        </w:tc>
      </w:tr>
    </w:tbl>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tbl>
      <w:tblPr>
        <w:tblW w:w="1611" w:type="dxa"/>
        <w:jc w:val="left"/>
        <w:tblInd w:w="0" w:type="dxa"/>
        <w:tblLayout w:type="fixed"/>
        <w:tblCellMar>
          <w:top w:w="28" w:type="dxa"/>
          <w:left w:w="28" w:type="dxa"/>
          <w:bottom w:w="28" w:type="dxa"/>
          <w:right w:w="28" w:type="dxa"/>
        </w:tblCellMar>
      </w:tblPr>
      <w:tblGrid>
        <w:gridCol w:w="496"/>
        <w:gridCol w:w="109"/>
        <w:gridCol w:w="1006"/>
      </w:tblGrid>
      <w:tr>
        <w:trPr/>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496" w:type="dxa"/>
            <w:tcBorders/>
            <w:shd w:fill="FFFFFF" w:val="clear"/>
            <w:tcMar>
              <w:top w:w="0" w:type="dxa"/>
              <w:left w:w="0" w:type="dxa"/>
              <w:bottom w:w="0" w:type="dxa"/>
              <w:right w:w="0" w:type="dxa"/>
            </w:tcMar>
            <w:vAlign w:val="center"/>
          </w:tcPr>
          <w:p>
            <w:pPr>
              <w:pStyle w:val="TableContents"/>
              <w:bidi w:val="0"/>
              <w:spacing w:before="240" w:after="240"/>
              <w:jc w:val="both"/>
              <w:rPr>
                <w:rFonts w:ascii="Avenir Next LT Pro;sans-serif" w:hAnsi="Avenir Next LT Pro;sans-serif"/>
                <w:color w:val="4D4D50"/>
                <w:sz w:val="24"/>
              </w:rPr>
            </w:pPr>
            <w:r>
              <w:rPr>
                <w:rFonts w:ascii="Avenir Next LT Pro;sans-serif" w:hAnsi="Avenir Next LT Pro;sans-serif"/>
                <w:color w:val="4D4D50"/>
                <w:sz w:val="24"/>
              </w:rPr>
              <w:t>By: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tcBorders/>
            <w:shd w:fill="FFFFFF" w:val="clear"/>
            <w:tcMar>
              <w:top w:w="0" w:type="dxa"/>
              <w:left w:w="0" w:type="dxa"/>
              <w:bottom w:w="0" w:type="dxa"/>
              <w:right w:w="0" w:type="dxa"/>
            </w:tcMar>
            <w:vAlign w:val="center"/>
          </w:tcPr>
          <w:p>
            <w:pPr>
              <w:pStyle w:val="TableContents"/>
              <w:bidi w:val="0"/>
              <w:spacing w:before="240" w:after="240"/>
              <w:jc w:val="both"/>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sz w:val="24"/>
              </w:rPr>
            </w:pPr>
            <w:r>
              <w:rPr>
                <w:rFonts w:ascii="Avenir Next LT Pro;sans-serif" w:hAnsi="Avenir Next LT Pro;sans-serif"/>
                <w:color w:val="4D4D50"/>
                <w:sz w:val="24"/>
              </w:rPr>
              <w:t>Name:</w:t>
            </w:r>
            <w:r>
              <w:rPr>
                <w:rFonts w:ascii="Times New Roman" w:hAnsi="Times New Roman"/>
                <w:color w:val="4D4D50"/>
                <w:sz w:val="24"/>
              </w:rPr>
              <w:t xml:space="preserve"> </w:t>
            </w:r>
          </w:p>
        </w:tc>
      </w:tr>
      <w:tr>
        <w:trPr/>
        <w:tc>
          <w:tcPr>
            <w:tcW w:w="496" w:type="dxa"/>
            <w:tcBorders/>
            <w:shd w:fill="FFFFFF" w:val="clear"/>
            <w:tcMar>
              <w:top w:w="0" w:type="dxa"/>
              <w:left w:w="0" w:type="dxa"/>
              <w:bottom w:w="0" w:type="dxa"/>
              <w:right w:w="0" w:type="dxa"/>
            </w:tcMar>
            <w:vAlign w:val="center"/>
          </w:tcPr>
          <w:p>
            <w:pPr>
              <w:pStyle w:val="TableContents"/>
              <w:bidi w:val="0"/>
              <w:spacing w:before="240" w:after="240"/>
              <w:jc w:val="both"/>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tcBorders/>
            <w:shd w:fill="FFFFFF" w:val="clear"/>
            <w:tcMar>
              <w:top w:w="0" w:type="dxa"/>
              <w:left w:w="0" w:type="dxa"/>
              <w:bottom w:w="0" w:type="dxa"/>
              <w:right w:w="0" w:type="dxa"/>
            </w:tcMar>
            <w:vAlign w:val="center"/>
          </w:tcPr>
          <w:p>
            <w:pPr>
              <w:pStyle w:val="TableContents"/>
              <w:bidi w:val="0"/>
              <w:spacing w:before="240" w:after="240"/>
              <w:jc w:val="both"/>
              <w:rPr>
                <w:rFonts w:ascii="Times New Roman" w:hAnsi="Times New Roman"/>
                <w:sz w:val="24"/>
              </w:rPr>
            </w:pPr>
            <w:r>
              <w:rPr>
                <w:rFonts w:ascii="Avenir Next LT Pro;sans-serif" w:hAnsi="Avenir Next LT Pro;sans-serif"/>
                <w:color w:val="4D4D50"/>
                <w:sz w:val="24"/>
              </w:rPr>
              <w:t>Title:</w:t>
            </w:r>
            <w:r>
              <w:rPr>
                <w:rFonts w:ascii="Times New Roman" w:hAnsi="Times New Roman"/>
                <w:color w:val="4D4D50"/>
                <w:sz w:val="24"/>
              </w:rPr>
              <w:t xml:space="preserve"> </w:t>
            </w:r>
          </w:p>
        </w:tc>
      </w:tr>
    </w:tbl>
    <w:p>
      <w:pPr>
        <w:pStyle w:val="TextBody"/>
        <w:bidi w:val="0"/>
        <w:jc w:val="left"/>
        <w:rPr/>
      </w:pPr>
      <w:r>
        <w:rPr/>
        <w:t> </w:t>
      </w:r>
    </w:p>
    <w:p>
      <w:pPr>
        <w:pStyle w:val="TextBody"/>
        <w:bidi w:val="0"/>
        <w:spacing w:before="240" w:after="240"/>
        <w:jc w:val="both"/>
        <w:rPr/>
      </w:pPr>
      <w:r>
        <w:rPr/>
        <w:t> </w:t>
      </w:r>
    </w:p>
    <w:p>
      <w:pPr>
        <w:pStyle w:val="TextBody"/>
        <w:bidi w:val="0"/>
        <w:spacing w:before="240" w:after="240"/>
        <w:jc w:val="both"/>
        <w:rPr/>
      </w:pPr>
      <w:r>
        <w:rPr/>
        <w:t> </w:t>
      </w:r>
    </w:p>
    <w:p>
      <w:pPr>
        <w:pStyle w:val="TextBody"/>
        <w:bidi w:val="0"/>
        <w:spacing w:before="240" w:after="240"/>
        <w:jc w:val="both"/>
        <w:rPr/>
      </w:pPr>
      <w:r>
        <w:rPr/>
        <w:t> </w:t>
      </w:r>
    </w:p>
    <w:p>
      <w:pPr>
        <w:pStyle w:val="TextBody"/>
        <w:bidi w:val="0"/>
        <w:spacing w:before="240" w:after="240"/>
        <w:jc w:val="left"/>
        <w:rPr/>
      </w:pPr>
      <w:r>
        <w:rPr/>
        <w:t>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bookmarkStart w:id="48" w:name="tmdx-ex10_42.htm"/>
      <w:bookmarkStart w:id="49" w:name="kstmdxex10_42"/>
      <w:bookmarkEnd w:id="48"/>
      <w:bookmarkEnd w:id="49"/>
      <w:r>
        <w:rPr/>
        <w:t> </w:t>
      </w:r>
      <w:r>
        <w:br w:type="page"/>
      </w:r>
    </w:p>
    <w:p>
      <w:pPr>
        <w:pStyle w:val="TextBody"/>
        <w:bidi w:val="0"/>
        <w:spacing w:before="240" w:after="240"/>
        <w:jc w:val="left"/>
        <w:rPr/>
      </w:pPr>
      <w:r>
        <w:rPr/>
        <w:t> </w:t>
      </w:r>
    </w:p>
    <w:p>
      <w:pPr>
        <w:pStyle w:val="TextBody"/>
        <w:bidi w:val="0"/>
        <w:spacing w:before="240" w:after="240"/>
        <w:jc w:val="right"/>
        <w:rPr>
          <w:rFonts w:ascii="Avenir Next LT Pro;sans-serif" w:hAnsi="Avenir Next LT Pro;sans-serif"/>
          <w:color w:val="4D4D50"/>
          <w:sz w:val="24"/>
        </w:rPr>
      </w:pPr>
      <w:r>
        <w:rPr>
          <w:rFonts w:ascii="Avenir Next LT Pro;sans-serif" w:hAnsi="Avenir Next LT Pro;sans-serif"/>
          <w:color w:val="4D4D50"/>
          <w:sz w:val="24"/>
        </w:rPr>
        <w:t>Exhibit 10.42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November 26 2024</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Dear Gerardo,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behalf of TransMedics, Inc., (the "Company"), I am very pleased to offer you employment with the Company contingent upon successful completion of the reference and background check processes, as well as verification of your eligibility for employment within three business days of the Start Date pursuant to the Immigration Reform and Control Act. This letter agreement (“Agreement”) sets forth the terms and conditions of your employment with TransMedics, Inc. (the “Company”), should you timely accept our offer.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b/>
          <w:color w:val="000000"/>
          <w:sz w:val="24"/>
          <w:u w:val="single"/>
        </w:rPr>
        <w:t>Position</w:t>
      </w:r>
      <w:r>
        <w:rPr>
          <w:rFonts w:ascii="Times New Roman" w:hAnsi="Times New Roman"/>
          <w:color w:val="000000"/>
          <w:sz w:val="24"/>
        </w:rPr>
        <w:t>. Your position will be Chief Financial Officer, reporting to Dr. Waleed Hassanein, the Company’s Chief Executive Officer. In addition, from time to time the Company may assign you other duties and responsibilities consistent with your position. As a full- time employee of the Company, you will be expected to devote your full business time and energy to the business and affairs of the Company. Your principal work location will be at the Company’s headquarters, currently located in Andover, Massachusetts.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b/>
          <w:color w:val="000000"/>
          <w:sz w:val="24"/>
          <w:u w:val="single"/>
        </w:rPr>
        <w:t>Start Date and Nature of Relationship</w:t>
      </w:r>
      <w:r>
        <w:rPr>
          <w:rFonts w:ascii="Times New Roman" w:hAnsi="Times New Roman"/>
          <w:color w:val="000000"/>
          <w:sz w:val="24"/>
        </w:rPr>
        <w:t>.</w:t>
      </w:r>
      <w:r>
        <w:rPr>
          <w:color w:val="000000"/>
        </w:rPr>
        <w:t xml:space="preserve"> </w:t>
      </w:r>
      <w:r>
        <w:rPr>
          <w:rFonts w:ascii="Times New Roman" w:hAnsi="Times New Roman"/>
          <w:color w:val="000000"/>
          <w:sz w:val="24"/>
        </w:rPr>
        <w:t>Your employment start date is expected to be on or before December 2, 2024 (the date that you actually begin employment with the Company, the “Start Date”). The terms and conditions contained in this Agreement are contingent upon your becoming employed by the Company. Your employment with the Company will be for no specified period and will constitute “at-will” employment. Should you decide to terminate your employment at any time, you are required to provide the Company with 90-days’ written notice (which period of notice may be waived, in whole or in part, by the Company in its sole discretion), except as otherwise provided in the Retention Agreement. No provision of this Agreement shall be construed to create an express or implied employment contract between you and the Company for any specific period of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b/>
          <w:color w:val="000000"/>
          <w:sz w:val="24"/>
          <w:u w:val="single"/>
        </w:rPr>
        <w:t>Compensation and Benefits</w:t>
      </w:r>
      <w:r>
        <w:rPr>
          <w:rFonts w:ascii="Times New Roman" w:hAnsi="Times New Roman"/>
          <w:color w:val="000000"/>
          <w:sz w:val="24"/>
        </w:rPr>
        <w:t>.</w:t>
      </w:r>
      <w:r>
        <w:rPr>
          <w:color w:val="000000"/>
        </w:rPr>
        <w:t xml:space="preserve"> </w:t>
      </w:r>
      <w:r>
        <w:rPr>
          <w:rFonts w:ascii="Times New Roman" w:hAnsi="Times New Roman"/>
          <w:color w:val="000000"/>
          <w:sz w:val="24"/>
        </w:rPr>
        <w:t>During your employment, as compensation for the services performed by you for the Company and subject to your performance of your duties and responsibilities for the Company, the Company will provide you with the following compensation and benefits: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u w:val="single"/>
        </w:rPr>
        <w:t>Base Salary</w:t>
      </w:r>
      <w:r>
        <w:rPr>
          <w:rFonts w:ascii="Times New Roman" w:hAnsi="Times New Roman"/>
          <w:color w:val="000000"/>
          <w:sz w:val="24"/>
        </w:rPr>
        <w:t>.</w:t>
      </w:r>
      <w:r>
        <w:rPr>
          <w:color w:val="000000"/>
        </w:rPr>
        <w:t xml:space="preserve"> </w:t>
      </w:r>
      <w:r>
        <w:rPr>
          <w:rFonts w:ascii="Times New Roman" w:hAnsi="Times New Roman"/>
          <w:color w:val="000000"/>
          <w:sz w:val="24"/>
        </w:rPr>
        <w:t>The Company will pay you a base salary at the rate of $450,000 per year, payable in accordance with the Company’s normal payroll practices. Your base salary will be eligible for potential discretionary merit increases, in the discretion of the CEO with approval by the compensation committee (the “Compensation Committee”) of the Board of Directors of the Company (the “Board”).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u w:val="single"/>
        </w:rPr>
        <w:t>Annual Bonus</w:t>
      </w:r>
      <w:r>
        <w:rPr>
          <w:rFonts w:ascii="Times New Roman" w:hAnsi="Times New Roman"/>
          <w:color w:val="740223"/>
          <w:sz w:val="24"/>
        </w:rPr>
        <w:t xml:space="preserve">. </w:t>
      </w:r>
      <w:r>
        <w:rPr>
          <w:rFonts w:ascii="Times New Roman" w:hAnsi="Times New Roman"/>
          <w:color w:val="000000"/>
          <w:sz w:val="24"/>
        </w:rPr>
        <w:t xml:space="preserve">Beginning in fiscal 2025, for any fiscal year for which the Compensation Committee approves an annual bonus, you will be eligible to be considered for an annual bonus with a target equal to fifty percent (50%) of your annual base salary. The annual bonus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 if any, will be based on Company performance against corporate objectives, functional performance and/or your individual performance as determined by the CEO with the approval of the Compensation Committee. In any event, except as provided in the Retention Agreement (as hereinafter defined), you must be an active TransMedics employee in good standing on the date that any annual bonus is paid in order to receive the annual bonus.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u w:val="single"/>
        </w:rPr>
        <w:t>Equity-Based Compensation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approval by the Board of Directors or the Compensation Committee as soon as possible but no later than the first Board or Compensation Committee meeting following your employment start date, in connection with this offer of employment and as an inducement to your accepting employment with the Company, you will be granted an equity award comprised of stock options and restricted stock units. The Company will grant to you an option to purchase shares of the Company’s common stock having a grant date value, determined in accordance with the Company’s procedures for equity awards, of approximately $1,000,000. The exercise price will reflect the closing stock price of the Company’s common stock on the date of grant. The option will vest as to 25% of the underlying shares on the first anniversary of the vesting commencement date and as to the remaining shares in equal monthly installments over three years thereafter, subject to continued service. The Company will also grant to you restricted stock units having a grant date value, determined in accordance with the Company’s procedures for equity awards, of approximately $1,000,000. The restricted stock units will vest as to 25% of the underlying shares on the first four anniversaries of the vesting commencement date, subject to continued service. The equity award will be granted under the Company’s equity incentive plan or inducement equity incentive plan (either, the “Plan”) and will be subject to all of the terms and conditions set forth in the Plan and the equity agreements governing the option and RSU’s. These documents will be provided to you at the time, or as soon as practical after, the equity award is granted to you. In the event of any conflict between this letter and the Plan or the equity agreements, the Plan and the equity agreements will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You will be eligible to be considered for the grant of other equity-based awards commensurate with your position and responsibilities. The amount, terms, and conditions of any such equity-based awards will be determined by the Board or the Compensation Committee in its discretion based on performance and achievement of milestones consistent with other senior executives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terms and conditions of any equity-based awards granted to you, including the initial equity award contemplated by Section 3(c)(i), will be set forth in the Plan under which the award is granted and an award agreement evidencing the award, which will be provided to you at or following the time the applicable equity-based award is granted to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2</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you. In the event of any conflict between this Agreement and the Plan or award agreement governing your equity award, the applicable Plan and/or the award agreement will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b/>
          <w:color w:val="000000"/>
          <w:sz w:val="24"/>
          <w:u w:val="single"/>
        </w:rPr>
        <w:t>Business Expenses</w:t>
      </w:r>
      <w:r>
        <w:rPr>
          <w:rFonts w:ascii="Times New Roman" w:hAnsi="Times New Roman"/>
          <w:color w:val="000000"/>
          <w:sz w:val="24"/>
        </w:rPr>
        <w:t>. The Company will pay or reimburse you for all reasonable business expenses incurred or paid by you in the performance of your duties and responsibilities for the Company, including business-related travel, subject to any maximum annual limit and other restrictions on such expenses determined by the Company and to such reasonable substantiation and documentation as the Company may specify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b/>
          <w:color w:val="000000"/>
          <w:sz w:val="24"/>
          <w:u w:val="single"/>
        </w:rPr>
        <w:t>Benefits</w:t>
      </w:r>
      <w:r>
        <w:rPr>
          <w:rFonts w:ascii="Times New Roman" w:hAnsi="Times New Roman"/>
          <w:color w:val="000000"/>
          <w:sz w:val="24"/>
        </w:rPr>
        <w:t xml:space="preserve">. You will be entitled to participate in all employee benefit plans from time to time in effect for employees of the Company generally, except to the extent such plans are duplicative of benefits otherwise provided to you under this Agreement or the Retention Agreement (for example, severance pay) or under any other agreement to which you are a party. Your participation will be subject to the terms of the applicable plan documents and generally applicable Company policies, in each case, as in effect from time to time in effect. In addition, while you are employed, the Company will provide you with a laptop computer and an iPhone with a Company-paid voice and data plan. The company will pay for all reasonable costs associated with maintaining your professional license, membership fees for academic and professional organizations, and attendance at professional conferences during your employment by the Company. The Company retains the right to amend, modify or terminate any of its employee benefit plans or any particular benefit at any time.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b/>
          <w:color w:val="000000"/>
          <w:sz w:val="24"/>
          <w:u w:val="single"/>
        </w:rPr>
        <w:t>Other</w:t>
      </w:r>
      <w:r>
        <w:rPr>
          <w:rFonts w:ascii="Times New Roman" w:hAnsi="Times New Roman"/>
          <w:color w:val="000000"/>
          <w:sz w:val="24"/>
        </w:rPr>
        <w:t>. You acknowledge and agree that all compensation paid to you shall be subject to the Company’s Policy for Recoupment of Incentive Compensation, as well as any other clawback or similar policy in effect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b/>
          <w:color w:val="000000"/>
          <w:sz w:val="24"/>
          <w:u w:val="single"/>
        </w:rPr>
        <w:t>Retention Agreement</w:t>
      </w:r>
      <w:r>
        <w:rPr>
          <w:rFonts w:ascii="Times New Roman" w:hAnsi="Times New Roman"/>
          <w:color w:val="000000"/>
          <w:sz w:val="24"/>
        </w:rPr>
        <w:t xml:space="preserve">. In connection with your commencement of employment, you will enter into an Executive Retention Agreement in substantially the form set forth as </w:t>
      </w:r>
      <w:r>
        <w:rPr>
          <w:rFonts w:ascii="Times New Roman" w:hAnsi="Times New Roman"/>
          <w:b/>
          <w:color w:val="000000"/>
          <w:sz w:val="24"/>
        </w:rPr>
        <w:t>Exhibit A</w:t>
      </w:r>
      <w:r>
        <w:rPr>
          <w:color w:val="000000"/>
        </w:rPr>
        <w:t xml:space="preserve"> </w:t>
      </w:r>
      <w:r>
        <w:rPr>
          <w:rFonts w:ascii="Times New Roman" w:hAnsi="Times New Roman"/>
          <w:color w:val="000000"/>
          <w:sz w:val="24"/>
        </w:rPr>
        <w:t>hereto (the “Retention Agreement”) pursuant to which you will be eligible to receive certain severance payments and/or benefits in the event your employment with the Company is terminated under certain circumstances on the terms and conditions set forth in the Retention Agreement. The Retention Agreement will become effective as of the Start Date. Except as set forth in the Retention Agreement, if your employment with the Company terminates for any reason, you will be entitled to receive your base salary and benefits (but not any incentive compensation) through the date of termination and your right to receive any other compensation or benefits hereunder will terminate as of the date of such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b/>
          <w:color w:val="000000"/>
          <w:sz w:val="24"/>
          <w:u w:val="single"/>
        </w:rPr>
        <w:t>Restrictive Covenants</w:t>
      </w:r>
      <w:r>
        <w:rPr>
          <w:rFonts w:ascii="Times New Roman" w:hAnsi="Times New Roman"/>
          <w:color w:val="000000"/>
          <w:sz w:val="24"/>
        </w:rPr>
        <w:t>.</w:t>
      </w:r>
      <w:r>
        <w:rPr>
          <w:color w:val="000000"/>
        </w:rPr>
        <w:t xml:space="preserve"> </w:t>
      </w:r>
      <w:r>
        <w:rPr>
          <w:rFonts w:ascii="Times New Roman" w:hAnsi="Times New Roman"/>
          <w:color w:val="000000"/>
          <w:sz w:val="24"/>
        </w:rPr>
        <w:t xml:space="preserve">The Company considers the protection of its confidential information and proprietary materials to be very important. Concurrent with this Agreement, you will execute a Business Protection Agreement with the Company in substantially the form set forth as </w:t>
      </w:r>
      <w:r>
        <w:rPr>
          <w:rFonts w:ascii="Times New Roman" w:hAnsi="Times New Roman"/>
          <w:b/>
          <w:color w:val="000000"/>
          <w:sz w:val="24"/>
        </w:rPr>
        <w:t>Exhibit B</w:t>
      </w:r>
      <w:r>
        <w:rPr>
          <w:color w:val="000000"/>
        </w:rPr>
        <w:t xml:space="preserve"> </w:t>
      </w:r>
      <w:r>
        <w:rPr>
          <w:rFonts w:ascii="Times New Roman" w:hAnsi="Times New Roman"/>
          <w:color w:val="000000"/>
          <w:sz w:val="24"/>
        </w:rPr>
        <w:t xml:space="preserve">hereto (such agreement, together with any other restrictive covenant obligations you enter into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3</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the Company, the “Restrictive Covenant Agreements”). Notwithstanding anything to the contrary in this Agreement, in the event you breach any provision of the Restrictive Covenant Agreements, the Company’s obligation to pay or provide, or continue to pay or provide, any severance benefits within the Retention Agreement will immediately cease.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b/>
          <w:color w:val="000000"/>
          <w:sz w:val="24"/>
          <w:u w:val="single"/>
        </w:rPr>
        <w:t>Withholding</w:t>
      </w:r>
      <w:r>
        <w:rPr>
          <w:rFonts w:ascii="Times New Roman" w:hAnsi="Times New Roman"/>
          <w:color w:val="000000"/>
          <w:sz w:val="24"/>
        </w:rPr>
        <w:t>. All payments made under this Agreement shall be reduced by any tax or other amounts required to be withheld by the Company, its successors or any of their respective affiliates under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b/>
          <w:color w:val="000000"/>
          <w:sz w:val="24"/>
          <w:u w:val="single"/>
        </w:rPr>
        <w:t>Section 409A</w:t>
      </w:r>
      <w:r>
        <w:rPr>
          <w:rFonts w:ascii="Times New Roman" w:hAnsi="Times New Roman"/>
          <w:color w:val="000000"/>
          <w:sz w:val="24"/>
        </w:rPr>
        <w:t>. Notwithstanding anything to the contrary in this Agreement, or if at the time your employment terminates, you are a “specified employee,” as defined below, any and all amounts or benefits payable under this Agreement on account of such termination of employment that would (but for this provision) be payable within six (6) months following the date of termination shall instead be paid on the next business day following the expiration of such six (6)-month period or, if earlier, upon your death, except to the extent such amounts or benefits are not subject to the requirements of Section 409A of the Code. For purposes of this Agreement, to the extent required to avoid adverse tax consequences under Section 409A of the Code, all references to “termination of employment” and correlative phrases shall be construed to require a “separation from service” (as defined in Section 1.409A-1(h) of the Treasury regulations after giving effect to the presumptions contained therein), and the term “specified employee” means an individual determined by the Company to be a specified employee under Section 1.409A- 1(i) of the Treasury regulations. Each payment made under this Agreement shall be treated as a separate payment and the right to a series of installment payments under this Agreement shall be treated as a right to a series of separate payments. In addition, any reimbursement payable to you that constitutes nonqualified deferred compensation subject to Section 409A of the Code shall be subject to the following additional rules: (i) no reimbursement of any such expense shall affect your right to reimbursement of any other such expense in any other taxable year; (ii) reimbursement of the expense shall be made, if at all, not later than the end of the calendar year following the calendar year in which the expense was incurred; and (iii) the right to reimbursement shall not be subject to liquidation or exchange for any other benefit.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b/>
          <w:color w:val="000000"/>
          <w:sz w:val="24"/>
          <w:u w:val="single"/>
        </w:rPr>
        <w:t>Section 280G</w:t>
      </w:r>
      <w:r>
        <w:rPr>
          <w:rFonts w:ascii="Times New Roman" w:hAnsi="Times New Roman"/>
          <w:color w:val="000000"/>
          <w:sz w:val="24"/>
        </w:rPr>
        <w:t xml:space="preserve">. If all, or any portion, of the payments or benefits provided under this Agreement, either alone or together with any other payment or benefit which you receive or are entitled to receive from the Company or an affiliate, would constitute an “excess parachute payment” within the meaning of Section 280G of the Code, then, notwithstanding anything in this Agreement or any other agreement or plan to the contrary, you shall be entitled to receive: (i) the amount of such payments or benefits, reduced such that no portion thereof shall fail to be tax deductible under Section 280G of the Code (the “Limited Amount”) or (ii) if the amounts otherwise payable hereunder and under any other agreement or plan of the Company or its subsidiaries (without regard to clause (i)), reduced by all taxes applicable thereto (including, for the avoidance of doubt, the excise tax imposed by Section 4999 of the Code), would be greater than the Limited Amount reduced by all taxes applicable thereto, the amounts otherwise payable hereunder. All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4</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determinations under this Section 8 shall be made by an accounting, consulting or valuation firm selected, and paid for, by the Company. In the event of any conflict between this Section 8 and the Retention Agreement, the Retention Agreement shall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b/>
          <w:color w:val="000000"/>
          <w:sz w:val="24"/>
          <w:u w:val="single"/>
        </w:rPr>
        <w:t>Successors</w:t>
      </w:r>
      <w:r>
        <w:rPr>
          <w:rFonts w:ascii="Times New Roman" w:hAnsi="Times New Roman"/>
          <w:color w:val="000000"/>
          <w:sz w:val="24"/>
        </w:rPr>
        <w:t>. Neither you nor the Company may make any assignment of this Agreement or any interest in it, by operation of law or otherwise, without the prior written consent of the other; provided, however, the Company may assign any of its rights and obligations under this Agreement without your consent to any of its subsidiaries or affiliates or to any person with whom the Company shall hereafter effect a reorganization, consolidation or merger, or to whom the Company shall hereafter transfer all or substantially all of the properties or assets related to the business for which you work. In the event of any such assignment, references in this Agreement to “the Company” shall be deemed to refer to such subsidiary, affiliate, or other person to the extent of the rights and/or obligations so assigned. This Agreement shall inure to the benefit of and be binding upon you and the Company, and each of our respective successors and permitted assigns.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b/>
          <w:color w:val="000000"/>
          <w:sz w:val="24"/>
          <w:u w:val="single"/>
        </w:rPr>
        <w:t>General</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constitutes the entire agreement between the parties and supersedes all prior and contemporaneous communications, agreements, and understandings, written or oral, with respect to the subject matter hereof. No amendment to this Agreement will be permitted except in writing, signed by the parties hereto. For the avoidance of doubt, the Restrictive Covenant Agreements and any agreements evidencing stock options or other equity-based awards shall remain in full force and effect in accordance with their respective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shall be governed by the law of the Commonwealth of Massachusetts, without regard to any conflict of laws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may be executed in two or more counterparts, each of which shall be an original and all of which together shall constitute one and the same instrument.</w:t>
      </w:r>
    </w:p>
    <w:p>
      <w:pPr>
        <w:pStyle w:val="TextBody"/>
        <w:bidi w:val="0"/>
        <w:spacing w:before="0" w:after="240"/>
        <w:jc w:val="both"/>
        <w:rPr>
          <w:rFonts w:ascii="Times New Roman" w:hAnsi="Times New Roman"/>
          <w:sz w:val="20"/>
        </w:rPr>
      </w:pPr>
      <w:r>
        <w:rPr>
          <w:rFonts w:ascii="Times New Roman" w:hAnsi="Times New Roman"/>
          <w:color w:val="000000"/>
          <w:sz w:val="24"/>
        </w:rPr>
        <w:t>We are very excited to have you join our team and are confident you will have a tremendous impact. Please do not hesitate to contact me if I can answer any questions or if I can be of any additional help. If you agree to the terms and conditions of this Agreement, please execute the Agreement in the space provided below and sign the Retention Agreement (</w:t>
      </w:r>
      <w:r>
        <w:rPr>
          <w:rFonts w:ascii="Times New Roman" w:hAnsi="Times New Roman"/>
          <w:b/>
          <w:color w:val="000000"/>
          <w:sz w:val="24"/>
        </w:rPr>
        <w:t>EXHIBIT A</w:t>
      </w:r>
      <w:r>
        <w:rPr>
          <w:rFonts w:ascii="Times New Roman" w:hAnsi="Times New Roman"/>
          <w:color w:val="000000"/>
          <w:sz w:val="24"/>
        </w:rPr>
        <w:t>) and the Business Protection Agreement (</w:t>
      </w:r>
      <w:r>
        <w:rPr>
          <w:rFonts w:ascii="Times New Roman" w:hAnsi="Times New Roman"/>
          <w:b/>
          <w:color w:val="000000"/>
          <w:sz w:val="24"/>
        </w:rPr>
        <w:t>EXHIBIT B</w:t>
      </w:r>
      <w:r>
        <w:rPr>
          <w:rFonts w:ascii="Times New Roman" w:hAnsi="Times New Roman"/>
          <w:color w:val="000000"/>
          <w:sz w:val="24"/>
        </w:rPr>
        <w:t>) and return them to me by November 26, 2024.</w:t>
      </w:r>
    </w:p>
    <w:p>
      <w:pPr>
        <w:pStyle w:val="TextBody"/>
        <w:bidi w:val="0"/>
        <w:spacing w:before="0" w:after="240"/>
        <w:jc w:val="left"/>
        <w:rPr>
          <w:rFonts w:ascii="Times New Roman" w:hAnsi="Times New Roman"/>
          <w:sz w:val="20"/>
        </w:rPr>
      </w:pPr>
      <w:r>
        <w:rPr>
          <w:rFonts w:ascii="Times New Roman" w:hAnsi="Times New Roman"/>
          <w:color w:val="000000"/>
          <w:sz w:val="24"/>
        </w:rPr>
        <w:t>Sincerely,</w:t>
        <w:br/>
        <w:br/>
        <w:t>/s/ Breanne K. Buzay</w:t>
        <w:br/>
        <w:br/>
        <w:t>Breanne K. Buzay</w:t>
        <w:br/>
      </w:r>
      <w:r>
        <w:rPr>
          <w:rFonts w:ascii="Times New Roman" w:hAnsi="Times New Roman"/>
          <w:color w:val="000000"/>
          <w:sz w:val="20"/>
        </w:rPr>
        <w:t>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5</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SVP, Human Resources</w:t>
        <w:br/>
      </w:r>
      <w:r>
        <w:rPr>
          <w:rFonts w:ascii="Times New Roman" w:hAnsi="Times New Roman"/>
          <w:color w:val="000000"/>
          <w:sz w:val="20"/>
        </w:rPr>
        <w:t> </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br/>
        <w:br/>
        <w:t xml:space="preserve">NAME: </w:t>
      </w:r>
      <w:r>
        <w:rPr>
          <w:rFonts w:ascii="Times New Roman" w:hAnsi="Times New Roman"/>
          <w:color w:val="000000"/>
          <w:sz w:val="24"/>
          <w:u w:val="single"/>
        </w:rPr>
        <w:t xml:space="preserve">/s/ Gerado Hernandez </w:t>
      </w:r>
      <w:r>
        <w:rPr>
          <w:rFonts w:ascii="Times New Roman" w:hAnsi="Times New Roman"/>
          <w:color w:val="000000"/>
          <w:sz w:val="24"/>
        </w:rPr>
        <w:t xml:space="preserve">Date: </w:t>
      </w:r>
      <w:r>
        <w:rPr>
          <w:rFonts w:ascii="Times New Roman" w:hAnsi="Times New Roman"/>
          <w:color w:val="000000"/>
          <w:sz w:val="24"/>
          <w:u w:val="single"/>
        </w:rPr>
        <w:t xml:space="preserve">December 1, 2024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6</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360" w:after="240"/>
        <w:jc w:val="right"/>
        <w:rPr>
          <w:rFonts w:ascii="Times New Roman" w:hAnsi="Times New Roman"/>
          <w:b/>
          <w:color w:val="4D4D50"/>
          <w:sz w:val="24"/>
        </w:rPr>
      </w:pPr>
      <w:r>
        <w:rPr>
          <w:rFonts w:ascii="Times New Roman" w:hAnsi="Times New Roman"/>
          <w:b/>
          <w:color w:val="4D4D50"/>
          <w:sz w:val="24"/>
        </w:rPr>
        <w:t>Exhibit A</w:t>
      </w:r>
    </w:p>
    <w:p>
      <w:pPr>
        <w:pStyle w:val="TextBody"/>
        <w:bidi w:val="0"/>
        <w:spacing w:before="360" w:after="240"/>
        <w:jc w:val="center"/>
        <w:rPr>
          <w:rFonts w:ascii="Times New Roman" w:hAnsi="Times New Roman"/>
          <w:color w:val="000000"/>
          <w:sz w:val="24"/>
        </w:rPr>
      </w:pPr>
      <w:r>
        <w:rPr>
          <w:rFonts w:ascii="Times New Roman" w:hAnsi="Times New Roman"/>
          <w:color w:val="000000"/>
          <w:sz w:val="24"/>
        </w:rPr>
        <w:t>TRANSMEDICS, INC.</w:t>
      </w:r>
    </w:p>
    <w:p>
      <w:pPr>
        <w:pStyle w:val="TextBody"/>
        <w:bidi w:val="0"/>
        <w:spacing w:before="240" w:after="240"/>
        <w:jc w:val="center"/>
        <w:rPr>
          <w:rFonts w:ascii="Times New Roman" w:hAnsi="Times New Roman"/>
          <w:sz w:val="20"/>
        </w:rPr>
      </w:pPr>
      <w:r>
        <w:rPr>
          <w:rFonts w:ascii="Times New Roman" w:hAnsi="Times New Roman"/>
          <w:color w:val="000000"/>
          <w:sz w:val="24"/>
          <w:u w:val="single"/>
        </w:rPr>
        <w:t>Executive Retention Agreement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THIS EXECUTIVE RETENTION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by and between TransMedics,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olor w:val="000000"/>
          <w:sz w:val="24"/>
        </w:rPr>
        <w:t>Gerardo P. Hernandez Omana</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color w:val="000000"/>
          <w:sz w:val="24"/>
          <w:u w:val="single"/>
        </w:rPr>
        <w:t>Executive</w:t>
      </w:r>
      <w:r>
        <w:rPr>
          <w:rFonts w:ascii="Times New Roman" w:hAnsi="Times New Roman"/>
          <w:color w:val="000000"/>
          <w:sz w:val="20"/>
        </w:rPr>
        <w:t>”</w:t>
      </w:r>
      <w:r>
        <w:rPr>
          <w:rFonts w:ascii="Times New Roman" w:hAnsi="Times New Roman"/>
          <w:color w:val="000000"/>
          <w:sz w:val="24"/>
        </w:rPr>
        <w:t>) is made as of November __, 2024 and effective as of the date the Executive begins employment with the Company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WHEREAS, the Board of Directors of the Company (the “</w:t>
      </w:r>
      <w:r>
        <w:rPr>
          <w:rFonts w:ascii="Times New Roman" w:hAnsi="Times New Roman"/>
          <w:color w:val="000000"/>
          <w:sz w:val="24"/>
          <w:u w:val="single"/>
        </w:rPr>
        <w:t>Board</w:t>
      </w:r>
      <w:r>
        <w:rPr>
          <w:rFonts w:ascii="Times New Roman" w:hAnsi="Times New Roman"/>
          <w:color w:val="000000"/>
          <w:sz w:val="20"/>
        </w:rPr>
        <w:t>”</w:t>
      </w:r>
      <w:r>
        <w:rPr>
          <w:rFonts w:ascii="Times New Roman" w:hAnsi="Times New Roman"/>
          <w:color w:val="000000"/>
          <w:sz w:val="24"/>
        </w:rPr>
        <w:t>) has determined that appropriate steps should be taken to reinforce and encourage the employment and dedication of the Company’s key personnel; and</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WHEREAS, the Board has identified the Executive as one of the Company’s key personnel.</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NOW, THEREFORE, as an inducement for and in consideration of the Executive commencing employment and remaining in the Company’s employ, the Company agrees that the Executive shall receive the severance benefits set forth in this Agreement in the event the Executive’s employment with the Company is terminated under the circumstances described below.</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Key Definitions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As used herein, the following terms shall have the following respective meanings:</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1.1 “</w:t>
      </w:r>
      <w:r>
        <w:rPr>
          <w:rFonts w:ascii="Times New Roman" w:hAnsi="Times New Roman"/>
          <w:color w:val="000000"/>
          <w:sz w:val="24"/>
          <w:u w:val="single"/>
        </w:rPr>
        <w:t>Change in Control</w:t>
      </w:r>
      <w:r>
        <w:rPr>
          <w:rFonts w:ascii="Times New Roman" w:hAnsi="Times New Roman"/>
          <w:color w:val="000000"/>
          <w:sz w:val="20"/>
        </w:rPr>
        <w:t xml:space="preserve">” </w:t>
      </w:r>
      <w:r>
        <w:rPr>
          <w:rFonts w:ascii="Times New Roman" w:hAnsi="Times New Roman"/>
          <w:color w:val="000000"/>
          <w:sz w:val="24"/>
        </w:rPr>
        <w:t>means an event or occurrence set forth in any one or more of subsections (a) through (d) below (including an event or occurrence that constitutes a Change in Control under one of such subsections but is specifically exempted from another such subsection) that is (i) a change in the ownership Company (as defined in Treasury Regulation Section 1.409A-3(i)(5)(v)), (ii) a change in the effective control of the Company (as defined in Treasury Regulation Section 1.409A-3(i)(5)(vi)), or (iii) a change in the ownership of a substantial portion of the assets of the Company (as defined in Treasury Regulation Section 1.409A-3(i)(5)(vii)):</w:t>
      </w:r>
    </w:p>
    <w:p>
      <w:pPr>
        <w:pStyle w:val="TextBody"/>
        <w:bidi w:val="0"/>
        <w:spacing w:before="240" w:after="240"/>
        <w:jc w:val="both"/>
        <w:rPr>
          <w:rFonts w:ascii="Times New Roman" w:hAnsi="Times New Roman"/>
          <w:sz w:val="20"/>
        </w:rPr>
      </w:pPr>
      <w:r>
        <w:rPr>
          <w:rFonts w:ascii="Times New Roman" w:hAnsi="Times New Roman"/>
          <w:color w:val="000000"/>
          <w:sz w:val="24"/>
        </w:rPr>
        <w:t>(a) the acquisition by an individual, entity or group (within the meaning of Section 13(d)(3) or 14(d)(2) of the Securities Exchange Act of 1934, as amended (the “</w:t>
      </w:r>
      <w:r>
        <w:rPr>
          <w:rFonts w:ascii="Times New Roman" w:hAnsi="Times New Roman"/>
          <w:color w:val="000000"/>
          <w:sz w:val="24"/>
          <w:u w:val="single"/>
        </w:rPr>
        <w:t>Exchange Act</w:t>
      </w:r>
      <w:r>
        <w:rPr>
          <w:rFonts w:ascii="Times New Roman" w:hAnsi="Times New Roman"/>
          <w:color w:val="000000"/>
          <w:sz w:val="20"/>
        </w:rPr>
        <w:t>”</w:t>
      </w:r>
      <w:r>
        <w:rPr>
          <w:rFonts w:ascii="Times New Roman" w:hAnsi="Times New Roman"/>
          <w:color w:val="000000"/>
          <w:sz w:val="24"/>
        </w:rPr>
        <w:t>)) (a “</w:t>
      </w:r>
      <w:r>
        <w:rPr>
          <w:rFonts w:ascii="Times New Roman" w:hAnsi="Times New Roman"/>
          <w:color w:val="000000"/>
          <w:sz w:val="24"/>
          <w:u w:val="single"/>
        </w:rPr>
        <w:t>Person</w:t>
      </w:r>
      <w:r>
        <w:rPr>
          <w:rFonts w:ascii="Times New Roman" w:hAnsi="Times New Roman"/>
          <w:color w:val="000000"/>
          <w:sz w:val="20"/>
        </w:rPr>
        <w:t>”</w:t>
      </w:r>
      <w:r>
        <w:rPr>
          <w:rFonts w:ascii="Times New Roman" w:hAnsi="Times New Roman"/>
          <w:color w:val="000000"/>
          <w:sz w:val="24"/>
        </w:rPr>
        <w:t>) of beneficial ownership of any capital stock of the Company if, after such acquisition, such Person beneficially owns (within the meaning of Rule 13d-3 promulgated under the Exchange Act) 50% or more of either (x) the then outstanding shares of common stock of the Company (the “</w:t>
      </w:r>
      <w:r>
        <w:rPr>
          <w:rFonts w:ascii="Times New Roman" w:hAnsi="Times New Roman"/>
          <w:color w:val="000000"/>
          <w:sz w:val="24"/>
          <w:u w:val="single"/>
        </w:rPr>
        <w:t>Outstanding Company Common Stock</w:t>
      </w:r>
      <w:r>
        <w:rPr>
          <w:rFonts w:ascii="Times New Roman" w:hAnsi="Times New Roman"/>
          <w:color w:val="000000"/>
          <w:sz w:val="20"/>
        </w:rPr>
        <w:t>”</w:t>
      </w:r>
      <w:r>
        <w:rPr>
          <w:rFonts w:ascii="Times New Roman" w:hAnsi="Times New Roman"/>
          <w:color w:val="000000"/>
          <w:sz w:val="24"/>
        </w:rPr>
        <w:t>) or (y) the combined voting power of the then outstanding securities of the Company entitled to vote generally in the election of directors (the “</w:t>
      </w:r>
      <w:r>
        <w:rPr>
          <w:rFonts w:ascii="Times New Roman" w:hAnsi="Times New Roman"/>
          <w:color w:val="000000"/>
          <w:sz w:val="24"/>
          <w:u w:val="single"/>
        </w:rPr>
        <w:t>Outstanding Company Voting Securities</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for purposes of this subsection (a), the following acquisitions shall not constitute a Change in Control: (i) any</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7</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or (ii) any acquisition by any corporation pursuant to a transaction which complies with clauses (i) and (ii) of subsection (c) of this Section 1.1; or</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(b) such time as the Continuing Directors (as defined below) do not constitute a majority of the Board (or, if applicable, the Board of Directors of a successor corporation to the Company), where the term “Continuing Director” means at any date a member of the Board (i) who was a member of the Board on the date of the execution of this Agreement or (ii)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there shall be excluded from this clause (ii)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(c) the consummation of a merger, consolidation, reorganization, recapitalization or statutory share exchange involving the Company or a sale or other disposition of all or substantially all of the assets of the Company in one or a series of transactions (a “</w:t>
      </w:r>
      <w:r>
        <w:rPr>
          <w:rFonts w:ascii="Times New Roman" w:hAnsi="Times New Roman"/>
          <w:color w:val="000000"/>
          <w:sz w:val="24"/>
          <w:u w:val="single"/>
        </w:rPr>
        <w:t>Business Combination</w:t>
      </w:r>
      <w:r>
        <w:rPr>
          <w:rFonts w:ascii="Times New Roman" w:hAnsi="Times New Roman"/>
          <w:color w:val="000000"/>
          <w:sz w:val="20"/>
        </w:rPr>
        <w:t>”</w:t>
      </w:r>
      <w:r>
        <w:rPr>
          <w:rFonts w:ascii="Times New Roman" w:hAnsi="Times New Roman"/>
          <w:color w:val="000000"/>
          <w:sz w:val="24"/>
        </w:rPr>
        <w:t>), unless, immediately following such Business Combination, each of the following two conditions is satisfied: (i)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 outstanding shares of common stock and the combined voting power of the then 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acquiring corporation is referred to herein as the “</w:t>
      </w:r>
      <w:r>
        <w:rPr>
          <w:rFonts w:ascii="Times New Roman" w:hAnsi="Times New Roman"/>
          <w:color w:val="000000"/>
          <w:sz w:val="24"/>
          <w:u w:val="single"/>
        </w:rPr>
        <w:t>Acquiring Corporation</w:t>
      </w:r>
      <w:r>
        <w:rPr>
          <w:rFonts w:ascii="Times New Roman" w:hAnsi="Times New Roman"/>
          <w:color w:val="000000"/>
          <w:sz w:val="20"/>
        </w:rPr>
        <w:t>”</w:t>
      </w:r>
      <w:r>
        <w:rPr>
          <w:rFonts w:ascii="Times New Roman" w:hAnsi="Times New Roman"/>
          <w:color w:val="000000"/>
          <w:sz w:val="24"/>
        </w:rPr>
        <w:t>) in substantially the same proportions as their ownership, immediately prior to such Business Combination, of the Outstanding Company Common Stock and Outstanding Company Voting Securities, respectively; and (ii) no Person (excluding any employee benefit plan (or related trust) maintained or sponsored by the Company or by the Acquiring Corporation) beneficially owns, directly or indirectly, 50% or more of the then outstanding shares of common stock of the Acquiring Corporation, or of the combined voting power of the then outstanding securities of such corporation entitled to vote generally in the election of directors (except to the extent that such ownership existed prior to the Business Combination); or</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8</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(d) the liquidation or dissolution of the Company.</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1.2 “</w:t>
      </w:r>
      <w:r>
        <w:rPr>
          <w:rFonts w:ascii="Times New Roman" w:hAnsi="Times New Roman"/>
          <w:color w:val="000000"/>
          <w:sz w:val="24"/>
          <w:u w:val="single"/>
        </w:rPr>
        <w:t>Change in Control Date</w:t>
      </w:r>
      <w:r>
        <w:rPr>
          <w:rFonts w:ascii="Times New Roman" w:hAnsi="Times New Roman"/>
          <w:color w:val="000000"/>
          <w:sz w:val="20"/>
        </w:rPr>
        <w:t xml:space="preserve">” </w:t>
      </w:r>
      <w:r>
        <w:rPr>
          <w:rFonts w:ascii="Times New Roman" w:hAnsi="Times New Roman"/>
          <w:color w:val="000000"/>
          <w:sz w:val="24"/>
        </w:rPr>
        <w:t>means the first date during the Term (as defined in Section 2) on which a Change in Control occurs. Anything in this Agreement to the contrary notwithstanding, if (a) a Change in Control occurs, (b) the Executive’s employment with the Company is terminated prior to the date on which the Change in Control occurs, and (c) it is reasonably demonstrated by the Executive that such termination of employment (i) was at the request of a third party who has taken steps reasonably calculated to effect a Change in Control or (ii) otherwise arose in connection with or in anticipation of a Change in Control, then for all purposes of this Agreement the “Change in Control Date” shall mean the date immediately prior to the date of such termination of employment.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1.3 “</w:t>
      </w:r>
      <w:r>
        <w:rPr>
          <w:rFonts w:ascii="Times New Roman" w:hAnsi="Times New Roman"/>
          <w:color w:val="000000"/>
          <w:sz w:val="24"/>
          <w:u w:val="single"/>
        </w:rPr>
        <w:t>Cause</w:t>
      </w:r>
      <w:r>
        <w:rPr>
          <w:rFonts w:ascii="Times New Roman" w:hAnsi="Times New Roman"/>
          <w:color w:val="000000"/>
          <w:sz w:val="20"/>
        </w:rPr>
        <w:t xml:space="preserve">” </w:t>
      </w:r>
      <w:r>
        <w:rPr>
          <w:rFonts w:ascii="Times New Roman" w:hAnsi="Times New Roman"/>
          <w:color w:val="000000"/>
          <w:sz w:val="24"/>
        </w:rPr>
        <w:t xml:space="preserve">means willful misconduct by the Executive or willful failure (which failure is not cured within 30 days of written notice to the Executive from the Company) by the Executive to perform the Executive’s responsibilities to the Company (including, without limitation, breach by the Executive of any provision of any employment, consulting, advisory, nondisclosure, non-competition or other similar agreement between the Executive and the Company), as determined by the Company;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following the Change in Control Date, Cause means (a) willful failure by the Executive, which failure is not cured within 30 days of written notice to the Executive from the Company, to perform the Executive’s material responsibilities to the Company or (b) willful misconduct by the Executive which affects the business reputation of the Company.</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1.4 “</w:t>
      </w:r>
      <w:r>
        <w:rPr>
          <w:rFonts w:ascii="Times New Roman" w:hAnsi="Times New Roman"/>
          <w:color w:val="000000"/>
          <w:sz w:val="24"/>
          <w:u w:val="single"/>
        </w:rPr>
        <w:t>Date of Termination</w:t>
      </w:r>
      <w:r>
        <w:rPr>
          <w:rFonts w:ascii="Times New Roman" w:hAnsi="Times New Roman"/>
          <w:color w:val="000000"/>
          <w:sz w:val="20"/>
        </w:rPr>
        <w:t xml:space="preserve">” </w:t>
      </w:r>
      <w:r>
        <w:rPr>
          <w:rFonts w:ascii="Times New Roman" w:hAnsi="Times New Roman"/>
          <w:color w:val="000000"/>
          <w:sz w:val="24"/>
        </w:rPr>
        <w:t>means the effective date of an employment termination, as further described in Section 3.2.</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1.5 “</w:t>
      </w:r>
      <w:r>
        <w:rPr>
          <w:rFonts w:ascii="Times New Roman" w:hAnsi="Times New Roman"/>
          <w:color w:val="000000"/>
          <w:sz w:val="24"/>
          <w:u w:val="single"/>
        </w:rPr>
        <w:t>Disability</w:t>
      </w:r>
      <w:r>
        <w:rPr>
          <w:rFonts w:ascii="Times New Roman" w:hAnsi="Times New Roman"/>
          <w:color w:val="000000"/>
          <w:sz w:val="20"/>
        </w:rPr>
        <w:t xml:space="preserve">” </w:t>
      </w:r>
      <w:r>
        <w:rPr>
          <w:rFonts w:ascii="Times New Roman" w:hAnsi="Times New Roman"/>
          <w:color w:val="000000"/>
          <w:sz w:val="24"/>
        </w:rPr>
        <w:t>means the Executive’s absence from the full-time performance of the Executive’s duties with the Company for 180 consecutive calendar days as a result of incapacity due to mental or physical illness which is determined to be total and permanent by a physician selected by the Company or its insurers and acceptable to the Executive or the Executive’s legal representative.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1.6 “</w:t>
      </w:r>
      <w:r>
        <w:rPr>
          <w:rFonts w:ascii="Times New Roman" w:hAnsi="Times New Roman"/>
          <w:color w:val="000000"/>
          <w:sz w:val="24"/>
          <w:u w:val="single"/>
        </w:rPr>
        <w:t>Good Reason</w:t>
      </w:r>
      <w:r>
        <w:rPr>
          <w:rFonts w:ascii="Times New Roman" w:hAnsi="Times New Roman"/>
          <w:color w:val="000000"/>
          <w:sz w:val="20"/>
        </w:rPr>
        <w:t xml:space="preserve">” </w:t>
      </w:r>
      <w:r>
        <w:rPr>
          <w:rFonts w:ascii="Times New Roman" w:hAnsi="Times New Roman"/>
          <w:color w:val="000000"/>
          <w:sz w:val="24"/>
        </w:rPr>
        <w:t>means the occurrence, without the Executive’s written consent, of any of the events or circumstances set forth in clauses (a) through (e) below. Notwithstanding the occurrence of any such event or circumstance, such occurrence shall not be deemed to constitute Good Reason unless: (i) the Executive has given written notice to the Company of the Executive’s intention to terminate the Executive’s employment for Good Reason, describing the grounds for such action, no later than 90 days after the first occurrence of such circumstances, (ii) the Executive has provided the Company with at least 30 days in which to cure the circumstances, and (iii) if the Company is not successful in curing the event or circumstance, the Executive ends the Executive’s employment within 30 days following the end of the cure period after giving not less than 15 days’ advance notice. Moreover, if such event or circumstance has been fully corrected within the cure period, such event or circumstance may not be used by the Executive at any time thereafter as basis for establishing Good Reason.</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(a) a material adverse change by the Company in the Executive’s duties, authority or responsibilities in effect immediately prior to the earliest to occur of (i) the Change in Control</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9</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Date, (ii) the date of the execution by the Company of the initial written agreement or instrument providing for the Change in Control or (iii) the date of the adoption by the Board of a resolution providing for the Change in Control (with the earliest to occur of such dates referred to herein as the “</w:t>
      </w:r>
      <w:r>
        <w:rPr>
          <w:rFonts w:ascii="Times New Roman" w:hAnsi="Times New Roman"/>
          <w:color w:val="000000"/>
          <w:sz w:val="24"/>
          <w:u w:val="single"/>
        </w:rPr>
        <w:t>Measurement Date</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a “material adverse change” following a Change in Control shall not include any diminution in authority, duties or responsibilities that is solely attributable to the change in the Company’s ownership structure but does not otherwise change the Executive’s authority, duties or responsibilities (except in a positive manner) otherwise with respect to the Company’s business;</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(b) a material reduction in the Executive’s base compensation as in effect on the Measurement Date or as the same was or may be increased thereafter from time to time;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(c) a material change by the Company in the location at which the Executive performs the Executive’s principal duties for the Company to a new location that is more than 50 miles from the location at which the Executive performed the Executive’s principal duties for the Company immediately prior to the Measurement Date;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(d) the failure of the Company to obtain the agreement from any successor to the Company to assume and agree to perform this Agreement, as required by Section 6.1; or</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(e) any material breach by the Company of this Agreement or any employment agreement with the Executive.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Term of Agreement</w:t>
      </w:r>
      <w:r>
        <w:rPr>
          <w:rFonts w:ascii="Times New Roman" w:hAnsi="Times New Roman"/>
          <w:color w:val="000000"/>
          <w:sz w:val="24"/>
        </w:rPr>
        <w:t>. This Agreement, and all rights and obligations of the parties hereunder, shall take effect upon the Effective Date and shall expire upon the first to occur of (a) if neither a termination of the Executive’s employment with the Company described in Section 4.1(a) below nor a Change in Control has occurred during the Term (as defined below), the expiration of the Term, (b) if a termination of the Executive’s employment with the Company described in Section 4.1(a) below occurs during the Term or within twenty-four (24) months following a Change in Control, the fulfillment by the Company of all of its obligations under Sections 4 and 5.2 and 5.3 or (c) if a Change in Control occurs prior to expiration of the Term (as defined below), the later of (i) the date twenty-four (24) months after the Change in Control Date and (ii) if the Executive’s employment with the Company terminates within twenty-four (24) months following the Change in Control Date, the fulfillment by the Company of all of its obligations under Sections 4 and 5.2 and 5.3. ‘</w:t>
      </w:r>
      <w:r>
        <w:rPr>
          <w:rFonts w:ascii="Times New Roman" w:hAnsi="Times New Roman"/>
          <w:color w:val="000000"/>
          <w:sz w:val="24"/>
          <w:u w:val="single"/>
        </w:rPr>
        <w:t>Term</w:t>
      </w:r>
      <w:r>
        <w:rPr>
          <w:rFonts w:ascii="Times New Roman" w:hAnsi="Times New Roman"/>
          <w:color w:val="000000"/>
          <w:sz w:val="20"/>
        </w:rPr>
        <w:t xml:space="preserve">’ </w:t>
      </w:r>
      <w:r>
        <w:rPr>
          <w:rFonts w:ascii="Times New Roman" w:hAnsi="Times New Roman"/>
          <w:color w:val="000000"/>
          <w:sz w:val="24"/>
        </w:rPr>
        <w:t xml:space="preserve">shall mean the period commencing as of the Effective Date and continuing in effect through December 31, 2025;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commencing on January 1, 2026 and each January 1 thereafter, the Term shall be automatically extended for one additional year.</w:t>
      </w:r>
    </w:p>
    <w:p>
      <w:pPr>
        <w:pStyle w:val="TextBody"/>
        <w:bidi w:val="0"/>
        <w:spacing w:before="240" w:after="240"/>
        <w:jc w:val="left"/>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Employment Status; Termination of Employment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3.1 </w:t>
      </w:r>
      <w:r>
        <w:rPr>
          <w:rFonts w:ascii="Times New Roman" w:hAnsi="Times New Roman"/>
          <w:color w:val="000000"/>
          <w:sz w:val="24"/>
          <w:u w:val="single"/>
        </w:rPr>
        <w:t>Not an Employment Contract</w:t>
      </w:r>
      <w:r>
        <w:rPr>
          <w:rFonts w:ascii="Times New Roman" w:hAnsi="Times New Roman"/>
          <w:color w:val="000000"/>
          <w:sz w:val="24"/>
        </w:rPr>
        <w:t>. The Executive acknowledges that this Agreement does not constitute a contract of employment or impose on the Company any obligation to retain the Executive</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10</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as an employee and that this Agreement does not prevent the Executive from terminating employment at any time. If the Executive’s employment with the Company terminates for any reason and subsequently a Change in Control shall occur, the Executive shall not be entitled to any benefits hereunder except as otherwise provided pursuant to Section 1.2 and Section 4.2.</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3.2 </w:t>
      </w:r>
      <w:r>
        <w:rPr>
          <w:rFonts w:ascii="Times New Roman" w:hAnsi="Times New Roman"/>
          <w:color w:val="000000"/>
          <w:sz w:val="24"/>
          <w:u w:val="single"/>
        </w:rPr>
        <w:t>Termination of Employment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(a) If the Change in Control Date occurs during the Term, any termination of the Executive’s employment by the Company or by the Executive within twenty-four (24) months following the Change in Control Date (other than due to the death of the Executive) shall be communicated by a written notice to the other party hereto (the “</w:t>
      </w:r>
      <w:r>
        <w:rPr>
          <w:rFonts w:ascii="Times New Roman" w:hAnsi="Times New Roman"/>
          <w:color w:val="000000"/>
          <w:sz w:val="24"/>
          <w:u w:val="single"/>
        </w:rPr>
        <w:t>Notice of Termination</w:t>
      </w:r>
      <w:r>
        <w:rPr>
          <w:rFonts w:ascii="Times New Roman" w:hAnsi="Times New Roman"/>
          <w:color w:val="000000"/>
          <w:sz w:val="20"/>
        </w:rPr>
        <w:t>”</w:t>
      </w:r>
      <w:r>
        <w:rPr>
          <w:rFonts w:ascii="Times New Roman" w:hAnsi="Times New Roman"/>
          <w:color w:val="000000"/>
          <w:sz w:val="24"/>
        </w:rPr>
        <w:t>), given in accordance with Section 7. Following the Change in Control Date, any Notice of Termination shall: (i) indicate the specific termination provision (if any) of this Agreement relied upon by the party giving such notice, (ii) to the extent applicable, set forth in reasonable detail the facts and circumstances claimed to provide a basis for termination of the Executive’s employment under the provision so indicated and (iii) specify the Date of Termination. Following the Change in Control Date, the Date of Termination shall be the close of business on the date specified in the Notice of Termination (which date may not be less than 15 days or more than 120 days after the date of delivery of such Notice of Termination), in the case of a termination other than one due to the Executive’s death, or the date of the Executive’s death, as the case may be. In the event the Company fails to satisfy the requirements of Section 3.2(a) regarding a Notice of Termination, following the Change in Control Date, the purported termination of the Executive’s employment pursuant to such Notice of Termination shall not be effective for purposes of this Agreement.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(b) 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any such fact or circumstance in enforcing the Executive’s or the Company’s rights hereunder;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any fact or circumstance which contributes to a showing of Good Reason must be asserted within 90 days of its first occurring and the Company shall have at least 30 days in which to cure such fact or circumstance consistent with the terms of Section 1.6 above.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(c) Following the Change in Control Date, any Notice of Termination for Cause given by the Company must be given within 90 days of the occurrence of the event(s) or circumstance(s) which constitute(s) Cause. Prior to any Notice of Termination for Cause being given (and prior to any termination for Cause being effective) after the Change in Control Date, the Executive shall be entitled to a hearing before the Board at which the Executive may, at the Executive’s election, be represented by counsel and at which he shall have a reasonable opportunity to be heard. Such hearing shall be held on not less than 15 days prior written notice to the Executive stating the Board’s intention to terminate the Executive for Cause and stating in detail the</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11</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particular event(s) or circumstance(s) which the Board believes constitutes Cause for termination.</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(d) Any Notice of Termination for Good Reason given by the Executive, whether prior to or following the Change in Control Date, must be given consistent with Section 1.6 above.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Benefits to Executive upon Termination</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4.1 </w:t>
      </w:r>
      <w:r>
        <w:rPr>
          <w:rFonts w:ascii="Times New Roman" w:hAnsi="Times New Roman"/>
          <w:color w:val="000000"/>
          <w:sz w:val="24"/>
          <w:u w:val="single"/>
        </w:rPr>
        <w:t>Termination of Employment without Cause or for Good Reason and prior to Change in Control</w:t>
      </w:r>
      <w:r>
        <w:rPr>
          <w:rFonts w:ascii="Times New Roman" w:hAnsi="Times New Roman"/>
          <w:color w:val="000000"/>
          <w:sz w:val="24"/>
        </w:rPr>
        <w:t>. If, during the Term and prior to the occurrence of a Change in Control, but after the twelve (12)-month anniversary of the Effective Date, the Executive’s employment with the Company is terminated by the Company (other than for Cause, Disability or death) or by the Executive for Good Reason, then:</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(a) on the Date of Termination, the Company shall pay to the Executive, in a lump sum in cash, the sum of (i) the Executive’s base salary earned but unpaid as of the Date of Termination, (ii) the amount of any compensation previously deferred by the Executive (together with any accrued interest or earnings thereon), provided that such payment of deferred compensation is consistent with any elections the Executive may have made with respect thereto, (iii) any accrued but unpaid vacation pay, in each case to the extent not previously paid (the sum of the amounts described in clauses (i), (ii) and (iii) shall be hereinafter referred to as the “</w:t>
      </w:r>
      <w:r>
        <w:rPr>
          <w:rFonts w:ascii="Times New Roman" w:hAnsi="Times New Roman"/>
          <w:color w:val="000000"/>
          <w:sz w:val="24"/>
          <w:u w:val="single"/>
        </w:rPr>
        <w:t>Accrued Obligations</w:t>
      </w:r>
      <w:r>
        <w:rPr>
          <w:rFonts w:ascii="Times New Roman" w:hAnsi="Times New Roman"/>
          <w:color w:val="000000"/>
          <w:sz w:val="20"/>
        </w:rPr>
        <w:t>”</w:t>
      </w:r>
      <w:r>
        <w:rPr>
          <w:rFonts w:ascii="Times New Roman" w:hAnsi="Times New Roman"/>
          <w:color w:val="000000"/>
          <w:sz w:val="24"/>
        </w:rPr>
        <w:t>) and at the same time that annual bonuses are paid to active executives, the Company shall pay to the Executive, in a lump sum in cash, any annual bonus relating to the fiscal year prior to such termination to the extent earned based on performance (the “</w:t>
      </w:r>
      <w:r>
        <w:rPr>
          <w:rFonts w:ascii="Times New Roman" w:hAnsi="Times New Roman"/>
          <w:color w:val="000000"/>
          <w:sz w:val="24"/>
          <w:u w:val="single"/>
        </w:rPr>
        <w:t>Prior Year’s Bonus</w:t>
      </w:r>
      <w:r>
        <w:rPr>
          <w:rFonts w:ascii="Times New Roman" w:hAnsi="Times New Roman"/>
          <w:color w:val="000000"/>
          <w:sz w:val="20"/>
        </w:rPr>
        <w:t>”</w:t>
      </w:r>
      <w:r>
        <w:rPr>
          <w:rFonts w:ascii="Times New Roman" w:hAnsi="Times New Roman"/>
          <w:color w:val="000000"/>
          <w:sz w:val="24"/>
        </w:rPr>
        <w:t>); and</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(b) provided that Executive executes and does not revoke the release consistent with Section 4.7 below, the Company shall:</w:t>
      </w:r>
    </w:p>
    <w:p>
      <w:pPr>
        <w:pStyle w:val="TextBody"/>
        <w:bidi w:val="0"/>
        <w:spacing w:before="240" w:after="240"/>
        <w:jc w:val="both"/>
        <w:rPr>
          <w:rFonts w:ascii="Times New Roman" w:hAnsi="Times New Roman"/>
          <w:sz w:val="20"/>
        </w:rPr>
      </w:pPr>
      <w:r>
        <w:rPr>
          <w:rFonts w:ascii="Times New Roman" w:hAnsi="Times New Roman"/>
          <w:color w:val="000000"/>
          <w:sz w:val="24"/>
        </w:rPr>
        <w:t>(i) pay to the Executive, in twelve (12) monthly installments beginning in the first payroll period following the Release Effective Date (as defined in Section 4.7), the amount equal to the sum of (A) the Executive’s highest annual base salary during the three-year period prior to the Date of Termination and (B) the Executive’s highest annual bonus during the three-year period prior to the Date of Termination, reduced by any amounts payable to the Executive under any non-competition or similar agreement with respect to the same period; and</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(ii) pay to the Executive an amount equal to the product of (A) the annual bonus paid or payable (including any bonus or portion thereof which has been earned but deferred) to the Executive for the most recently completed fiscal year and (B) a fraction, the numerator of which is the number of days in the current fiscal year through the Date of Termination, and the denominator of which is 365, payable at same time annual bonuses are payable to active employees (but in all events prior to two and one-half months following the end of the year to which the bonus relates).</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12</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(ii) for a period of twelve (12) months following the Release Effective Date, to the extent permitted by applicable non-discrimination rules, continue to provide group health insurance coverage to the Executive and the Executive’s family at least equal to those which would have been provided to them if the Executive employment had not been terminated, in accordance with the applicable plan in effect on the Date of Termination or, if more favorable to the Executive and the Executive’s family, in effect generally at any time thereafter with respect to other similarly-situated executives of the Company and its affiliated companies, pursuant to the federal COBRA law;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if the Executive becomes reemployed with another employer and is eligible to receive group health insurance from such employer on terms at least as favorable to the Executive and the Executive’s family as those being provided by the Company, then the Company shall no longer be required to provide such coverage to the Executive and the Executive’s family.</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If, during the Term but prior to both the twelve (12)-month anniversary of the Effective Date and the occurrence of a Change in Control, the Executive’s employment with the Company is terminated by the Company (other than for Cause, Disability or death) or by the Executive for Good Reason, then on the Date of Termination, in lieu of the amounts set forth above, the Company shall pay to the Executive, in a lump sum in cash, the Accrued Obligations and shall pay the Prior Year’s Bonus when annual bonuses are paid to executives generally and, provided that Executive executes and does not revoke the release consistent with Section 4.7 below, the Company shall continue to pay the Executive’s base salary for six (6) months following the Date of Termination, in six (6) monthly installments beginning in the first payroll period following the Release Effective Date (as defined in Section 4.7).</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4.2 </w:t>
      </w:r>
      <w:r>
        <w:rPr>
          <w:rFonts w:ascii="Times New Roman" w:hAnsi="Times New Roman"/>
          <w:color w:val="000000"/>
          <w:sz w:val="24"/>
          <w:u w:val="single"/>
        </w:rPr>
        <w:t>Termination of Employment without Cause or for Good Reason following Change in Control</w:t>
      </w:r>
      <w:r>
        <w:rPr>
          <w:rFonts w:ascii="Times New Roman" w:hAnsi="Times New Roman"/>
          <w:color w:val="000000"/>
          <w:sz w:val="24"/>
        </w:rPr>
        <w:t>. If the Executive’s employment with the Company is terminated by the Company (other than for Cause, Disability or death) or by the Executive for Good Reason within twenty-four (24) months following the Change in Control Date, then:</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(a) the Company shall pay to the Executive the Accrued Obligations, which shall be paid in one lump sum in cash on the Date of Termination, and the Prior Year’s Bonus, which shall be paid in a lump sum in cash when annual bonuses are paid to executives generally; and</w:t>
      </w:r>
    </w:p>
    <w:p>
      <w:pPr>
        <w:pStyle w:val="TextBody"/>
        <w:bidi w:val="0"/>
        <w:spacing w:before="240" w:after="240"/>
        <w:jc w:val="both"/>
        <w:rPr>
          <w:rFonts w:ascii="Times New Roman" w:hAnsi="Times New Roman"/>
          <w:sz w:val="20"/>
        </w:rPr>
      </w:pPr>
      <w:r>
        <w:rPr>
          <w:rFonts w:ascii="Times New Roman" w:hAnsi="Times New Roman"/>
          <w:color w:val="000000"/>
          <w:sz w:val="24"/>
        </w:rPr>
        <w:t>(b) provided the Executive executes and does not revoke the release consistent with Section 4.7 below, the Company shall:</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(i) pay the amount equal to the sum of (A) 1.5 multiplied by the Executive’s highest annual base salary during the three-year period prior to the Date of Termination, (B) the Executive’s highest annual bonus during the three-year period prior to the Date of Termination, and (C) the Executive’s target annual bonus for the year in which the Date of Termination occurs, which shall be paid in one lump sum within 10 days after the Release Effective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the Date of Termination precedes the closing of</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13</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the Change in Control, then the foregoing amount shall be paid in accordance with the terms of Section 4.1(b)(i) until the closing date of the Change in Control and thereafter shall be paid out in accordance with this Section 4.2(b)(i);</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(ii) for eighteen (18) months following the Release Effective Date, to the extent permitted by applicable non-discrimination rules, continue to provide group health insurance coverage to the Executive and the Executive’s family at least equal to those which would have been provided to them if the Executive’s employment had not been terminated, in accordance with the applicable plan in effect on the Measurement Date or, if more favorable to the Executive and the Executive’s family, in effect generally at any time thereafter with respect to other similarly-situated executives of the Company and its affiliated companies, pursuant to the federal COBRA law;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if the Executive becomes reemployed with another employer and is eligible to receive group health insurance from such employer on terms at least as favorable to the Executive and the Executive’s family as those being provided by the Company, then the Company shall no longer be required to provide such coverage to The Executive and the Executive’s family; and</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(iii) each outstanding option to purchase shares of Common Stock of the Company and each other equity-based award, including without limitation, restricted stock units, held by the Executive shall vest in full (with any performance-based equity awards vesting at target levels) and, as applicable, become immediately exercisable in full.</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4.3 </w:t>
      </w:r>
      <w:r>
        <w:rPr>
          <w:rFonts w:ascii="Times New Roman" w:hAnsi="Times New Roman"/>
          <w:color w:val="000000"/>
          <w:sz w:val="24"/>
          <w:u w:val="single"/>
        </w:rPr>
        <w:t>Resignation without Good Reason following Change in Control; Termination for Death or Disability</w:t>
      </w:r>
      <w:r>
        <w:rPr>
          <w:rFonts w:ascii="Times New Roman" w:hAnsi="Times New Roman"/>
          <w:color w:val="000000"/>
          <w:sz w:val="24"/>
        </w:rPr>
        <w:t>. If the Executive voluntarily terminates the Executive’s employment with the Company within 24 months following the Change in Control Date, excluding a termination for Good Reason, or if the Executive’s employment with the Company is terminated by reason of the Executive’s death or Disability, then the Company shall pay the Executive (or the Executive’s estate, if applicable) the Accrued Obligations in a lump sum in cash on the first regular payroll after the Date of Termination.</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4.4 </w:t>
      </w:r>
      <w:r>
        <w:rPr>
          <w:rFonts w:ascii="Times New Roman" w:hAnsi="Times New Roman"/>
          <w:color w:val="000000"/>
          <w:sz w:val="24"/>
          <w:u w:val="single"/>
        </w:rPr>
        <w:t>Termination for Cause; Resignation without Good Reason prior to Change in Control; Termination without Cause or Resignation for Good Reason on or prior to the 12-month anniversary of the Effective Date and prior to Change in Control</w:t>
      </w:r>
      <w:r>
        <w:rPr>
          <w:rFonts w:ascii="Times New Roman" w:hAnsi="Times New Roman"/>
          <w:color w:val="000000"/>
          <w:sz w:val="24"/>
        </w:rPr>
        <w:t>. If the Company terminates the Executive’s employment with the Company for Cause or if the Executive voluntarily terminates the Executive’s employment with the Company without Good Reason, then the Company shall pay the Executive, in a lump sum in cash on the Date of Termination, the sum of (a) the Executive’s base salary earned through the Date of Termination, (b) the amount of any compensation previously deferred by the Executive, provided that such payment of deferred compensation is consistent with any elections the Executive may have made with respect thereto, and (c) any accrued but unpaid vacation pay, in each case to the extent not previously paid.</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14</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4.5 </w:t>
      </w:r>
      <w:r>
        <w:rPr>
          <w:rFonts w:ascii="Times New Roman" w:hAnsi="Times New Roman"/>
          <w:color w:val="000000"/>
          <w:sz w:val="24"/>
          <w:u w:val="single"/>
        </w:rPr>
        <w:t>Taxes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(a) Notwithstanding any other provision of this Agreement, except as set forth in Section 4.5(b), in the event that the Company undergoes a “</w:t>
      </w:r>
      <w:r>
        <w:rPr>
          <w:rFonts w:ascii="Times New Roman" w:hAnsi="Times New Roman"/>
          <w:color w:val="000000"/>
          <w:sz w:val="24"/>
          <w:u w:val="single"/>
        </w:rPr>
        <w:t>Change in Ownership or Control</w:t>
      </w:r>
      <w:r>
        <w:rPr>
          <w:rFonts w:ascii="Times New Roman" w:hAnsi="Times New Roman"/>
          <w:color w:val="000000"/>
          <w:sz w:val="20"/>
        </w:rPr>
        <w:t xml:space="preserve">” </w:t>
      </w:r>
      <w:r>
        <w:rPr>
          <w:rFonts w:ascii="Times New Roman" w:hAnsi="Times New Roman"/>
          <w:color w:val="000000"/>
          <w:sz w:val="24"/>
        </w:rPr>
        <w:t>(as defined below), the Company shall not be obligated to provide to the Executive a portion of any “Contingent Compensation Payments” (as defined below) that the Executive would otherwise be entitled to receive to the extent necessary to eliminate any “excess parachute payments” (as defined in Section 280G(b)(l) of the Internal Revenue Code of 1986, as amended (the “</w:t>
      </w:r>
      <w:r>
        <w:rPr>
          <w:rFonts w:ascii="Times New Roman" w:hAnsi="Times New Roman"/>
          <w:color w:val="000000"/>
          <w:sz w:val="24"/>
          <w:u w:val="single"/>
        </w:rPr>
        <w:t>Code</w:t>
      </w:r>
      <w:r>
        <w:rPr>
          <w:rFonts w:ascii="Times New Roman" w:hAnsi="Times New Roman"/>
          <w:color w:val="000000"/>
          <w:sz w:val="20"/>
        </w:rPr>
        <w:t>”</w:t>
      </w:r>
      <w:r>
        <w:rPr>
          <w:rFonts w:ascii="Times New Roman" w:hAnsi="Times New Roman"/>
          <w:color w:val="000000"/>
          <w:sz w:val="24"/>
        </w:rPr>
        <w:t>)) for the Executive. For purposes of this Section 4.5,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w:t>
      </w:r>
      <w:r>
        <w:rPr>
          <w:rFonts w:ascii="Times New Roman" w:hAnsi="Times New Roman"/>
          <w:color w:val="000000"/>
          <w:sz w:val="24"/>
          <w:u w:val="single"/>
        </w:rPr>
        <w:t>Eliminated Amount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(b) Notwithstanding the provisions of Section 4.5(a), no such reduction in Contingent Compensation Payments shall be made if (i) the Eliminated Amount (computed without regard to this sentence) exceeds (ii) the aggregate present value (determined in accordance with Treasury Regulation Section 1.280G-1, Q/A-31 and Q/A-32 or any successor provisions) of the amount of any additional taxes that would be incurred by the Executive if the Eliminated Payments (determined without regard to this sentence) were paid to the Executive (including, state and federal income taxes on the Eliminated Payments, the excise tax imposed by Section 4999 of the Code payable with respect to all of the Contingent Compensation Payments in excess of the Executive’s “base amount” (as defined in Section 280G(b)(3) of the Code), and any withholding taxes). The override of such reduction in Contingent Compensation Payments pursuant to this Section 4.5(b) shall be referred to as a “</w:t>
      </w:r>
      <w:r>
        <w:rPr>
          <w:rFonts w:ascii="Times New Roman" w:hAnsi="Times New Roman"/>
          <w:color w:val="000000"/>
          <w:sz w:val="24"/>
          <w:u w:val="single"/>
        </w:rPr>
        <w:t>Section 4.5(b) Override</w:t>
      </w:r>
      <w:r>
        <w:rPr>
          <w:rFonts w:ascii="Times New Roman" w:hAnsi="Times New Roman"/>
          <w:color w:val="000000"/>
          <w:sz w:val="24"/>
        </w:rPr>
        <w:t>.” For purpose of this paragraph, if any federal or state income taxes would be attributable to the receipt of any Eliminated Payment, the amount of such taxes shall be computed by multiplying the amount of the Eliminated Payment by the maximum combined federal and state income tax rate provided bylaw.</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(c) For purposes of this Section 4.5, the following terms shall have the following respective meanings:</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(i) “</w:t>
      </w:r>
      <w:r>
        <w:rPr>
          <w:rFonts w:ascii="Times New Roman" w:hAnsi="Times New Roman"/>
          <w:color w:val="000000"/>
          <w:sz w:val="24"/>
          <w:u w:val="single"/>
        </w:rPr>
        <w:t>Change in Ownership or Control</w:t>
      </w:r>
      <w:r>
        <w:rPr>
          <w:rFonts w:ascii="Times New Roman" w:hAnsi="Times New Roman"/>
          <w:color w:val="000000"/>
          <w:sz w:val="20"/>
        </w:rPr>
        <w:t xml:space="preserve">” </w:t>
      </w:r>
      <w:r>
        <w:rPr>
          <w:rFonts w:ascii="Times New Roman" w:hAnsi="Times New Roman"/>
          <w:color w:val="000000"/>
          <w:sz w:val="24"/>
        </w:rPr>
        <w:t>shall mean a change in the ownership or effective control of the Company or in the ownership of a substantial portion of the assets of the Company determined in accordance with Section 280G(b)(2) of the Code.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(ii) “</w:t>
      </w:r>
      <w:r>
        <w:rPr>
          <w:rFonts w:ascii="Times New Roman" w:hAnsi="Times New Roman"/>
          <w:color w:val="000000"/>
          <w:sz w:val="24"/>
          <w:u w:val="single"/>
        </w:rPr>
        <w:t>Contingent Compensation Payment</w:t>
      </w:r>
      <w:r>
        <w:rPr>
          <w:rFonts w:ascii="Times New Roman" w:hAnsi="Times New Roman"/>
          <w:color w:val="000000"/>
          <w:sz w:val="20"/>
        </w:rPr>
        <w:t xml:space="preserve">” </w:t>
      </w:r>
      <w:r>
        <w:rPr>
          <w:rFonts w:ascii="Times New Roman" w:hAnsi="Times New Roman"/>
          <w:color w:val="000000"/>
          <w:sz w:val="24"/>
        </w:rPr>
        <w:t>shall mean any payment (or benefit) in the nature of compensation that is made or made available (under this Agreement or otherwise) to a “disqualified individual” (as defined in Section 280G(c) of the Code) and</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15</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that is contingent (within the meaning of Section 280G(b)(2)(A)(i) of the Code) on a Change in Ownership or Control of the Company.</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(d) Any payments or other benefits otherwise due to the Executive following a Change in Ownership or Control that could reasonably be characterized (as determined by the Company) as Contingent Compensation Payments (the “</w:t>
      </w:r>
      <w:r>
        <w:rPr>
          <w:rFonts w:ascii="Times New Roman" w:hAnsi="Times New Roman"/>
          <w:color w:val="000000"/>
          <w:sz w:val="24"/>
          <w:u w:val="single"/>
        </w:rPr>
        <w:t>Potential Payments</w:t>
      </w:r>
      <w:r>
        <w:rPr>
          <w:rFonts w:ascii="Times New Roman" w:hAnsi="Times New Roman"/>
          <w:color w:val="000000"/>
          <w:sz w:val="20"/>
        </w:rPr>
        <w:t>”</w:t>
      </w:r>
      <w:r>
        <w:rPr>
          <w:rFonts w:ascii="Times New Roman" w:hAnsi="Times New Roman"/>
          <w:color w:val="000000"/>
          <w:sz w:val="24"/>
        </w:rPr>
        <w:t>) shall not be made until the dates provided for in this Section 4.5(d). Within 30 days after each date on which the Executive first becomes entitled to receive (whether or not then due) a Contingent Compensation Payment relating to such Change in Ownership or Control, the Company shall determine and notify the Executive (with reasonable detail regarding the basis for its determinations) (i) which Potential Payments constitute Contingent Compensation Payments, (ii) the Eliminated Amount and (iii) whether the Section 4.5(b) Override is applicable. Within 30 days after delivery of such notice to the Executive, the Executive shall deliver a response to the Company (the “</w:t>
      </w:r>
      <w:r>
        <w:rPr>
          <w:rFonts w:ascii="Times New Roman" w:hAnsi="Times New Roman"/>
          <w:color w:val="000000"/>
          <w:sz w:val="24"/>
          <w:u w:val="single"/>
        </w:rPr>
        <w:t>Executive Response</w:t>
      </w:r>
      <w:r>
        <w:rPr>
          <w:rFonts w:ascii="Times New Roman" w:hAnsi="Times New Roman"/>
          <w:color w:val="000000"/>
          <w:sz w:val="20"/>
        </w:rPr>
        <w:t>”</w:t>
      </w:r>
      <w:r>
        <w:rPr>
          <w:rFonts w:ascii="Times New Roman" w:hAnsi="Times New Roman"/>
          <w:color w:val="000000"/>
          <w:sz w:val="24"/>
        </w:rPr>
        <w:t>) stating either (A) that the Executive agrees with the Company’s determination pursuant to the preceding sentence or (B) that the Executive disagrees with such determination, in which case the Executive shall set forth (i) which Potential Payments should be characterized as Contingent Compensation Payments, (ii) the Eliminated Amount, and (iii) whether the Section 4.5(b) Override is applicable. In the event that the Executive fails to deliver an Executive Response on or before the required date, the Company’s initial determination shall be final. If the Executive states in the Executive Response that the Executive agrees with the Company’s determination, the Company shall make the Potential Payments to the Executive within three business days following delivery to the Company of the Executive Response (except for any Potential Payments which are not due to be made until after such date, which Potential Payments shall be made on the date on which they are due). If the Executive states in the Executive Response that the Executive disagrees with the Company’s determination, then, for a period of 60 days following delivery of the Executive Response, the Executive and the Company shall use good faith efforts to resolve such dispute. If such dispute is not resolved within such 60-day period, such dispute shall be settled exclusively by arbitration in Boston, Massachusetts, in accordance with the rules of the American Arbitration Association then in effect. Judgment may be entered on the arbitrator’s award in any court having jurisdiction. The Company shall, within three business days following delivery to the Company of the Executive Response, make to the Executive those Potential Payments as to which there is no dispute between the Company and the Executive regarding whether they should be made (except for any such Potential Payments which are not due to be made until after such date, which Potential Payments shall be made on the date on which they are due). The balance of the Potential Payments shall be made within three business days following the resolution of such dispute. Subject to the limitations contained in Sections 4.5(a) and (b) hereof, the amount of any payments to be made to the Executive following the resolution of such dispute shall be increased by amount of the accrued interest thereon computed at the prime rate announced from time to time by Bank of America or its successor, compounded monthly from the date that such payments originally were due.</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16</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(e) The Contingent Compensation Payments to be treated as Eliminated Payments shall be determined by the Company by determining the “Contingent Compensation Payment Ratio” (as defined below) for each Contingent Compensation Payment and then reducing the Contingent Compensation Payments in order beginning with the Contingent Compensation Payment with the highest Contingent Compensation Payment Ratio. For Contingent Compensation Payments with the same Contingent Compensation Payment Ratio, such Contingent Compensation Payment shall be reduced based on the time of payment of such Contingent Compensation Payments with amounts having later payment dates being reduced first. For Contingent Compensation Payments with the same Contingent Compensation Payment Ratio and the same time of payment, such Contingent Compensation Payments shall be reduced on a pro rata basis (but not below zero) prior to reducing Contingent Compensation Payment with a lower Contingent Compensation Payment Ratio. The term “</w:t>
      </w:r>
      <w:r>
        <w:rPr>
          <w:rFonts w:ascii="Times New Roman" w:hAnsi="Times New Roman"/>
          <w:color w:val="000000"/>
          <w:sz w:val="24"/>
          <w:u w:val="single"/>
        </w:rPr>
        <w:t>Contingent Compensation Payment Ratio</w:t>
      </w:r>
      <w:r>
        <w:rPr>
          <w:rFonts w:ascii="Times New Roman" w:hAnsi="Times New Roman"/>
          <w:color w:val="000000"/>
          <w:sz w:val="20"/>
        </w:rPr>
        <w:t xml:space="preserve">” </w:t>
      </w:r>
      <w:r>
        <w:rPr>
          <w:rFonts w:ascii="Times New Roman" w:hAnsi="Times New Roman"/>
          <w:color w:val="000000"/>
          <w:sz w:val="24"/>
        </w:rPr>
        <w:t>shall mean a fraction the numerator of which is the value of the applicable Contingent Compensation Payment that must be taken into account by the Executive for purposes of Section 4999(a) of the Code, and the denominator of which is the actual amount to be received by the Executive in respect of the applicable Contingent Compensation Payment. For example, in the case of an equity grant that is treated as contingent on the Change in Ownership or Control because the time at which the payment is made or the payment vests is accelerated, the denominator shall be determined by reference to the fair market value of the equity at the acceleration date, and not in accordance with the methodology for determining the value of accelerated payments set forth in Treasury Regulation Section 1.280G-lQ/A-24(b) or (c)).</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(f) The provisions of this Section 4.5 are intended to apply to any and all payments or benefits available to the Executive under this Agreement or any other agreement or plan of the Company under which the Executive receives Contingent Compensation Payments.</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4.6 </w:t>
      </w:r>
      <w:r>
        <w:rPr>
          <w:rFonts w:ascii="Times New Roman" w:hAnsi="Times New Roman"/>
          <w:color w:val="000000"/>
          <w:sz w:val="24"/>
          <w:u w:val="single"/>
        </w:rPr>
        <w:t>Distributions; Section 409A of the Code</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(a) Subject to the provisions in this Section 4.6, any severance payments or benefits under this Agreement shall begin only upon the date of the Executive’s “separation from service” (determined as set forth below) which occurs on or after the Executive’s Date of Termination. It is intended that each installment of the payments and benefits provided under this Section 4 shall be treated as a separate “payment” for purposes of Section 409A of the Code and the guidance issued thereunder (“</w:t>
      </w:r>
      <w:r>
        <w:rPr>
          <w:rFonts w:ascii="Times New Roman" w:hAnsi="Times New Roman"/>
          <w:color w:val="000000"/>
          <w:sz w:val="24"/>
          <w:u w:val="single"/>
        </w:rPr>
        <w:t>Section 409A</w:t>
      </w:r>
      <w:r>
        <w:rPr>
          <w:rFonts w:ascii="Times New Roman" w:hAnsi="Times New Roman"/>
          <w:color w:val="000000"/>
          <w:sz w:val="20"/>
        </w:rPr>
        <w:t>”</w:t>
      </w:r>
      <w:r>
        <w:rPr>
          <w:rFonts w:ascii="Times New Roman" w:hAnsi="Times New Roman"/>
          <w:color w:val="000000"/>
          <w:sz w:val="24"/>
        </w:rPr>
        <w:t>). Neither the Company nor the Executive shall have the right to accelerate or defer the delivery of any such payments or benefits except to the extent specifically permitted or required by Section 409A.</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(b) If, as of the date of the “separation from service” of the Executive from the Company, the Executive is not a “specified employee” (each within the meaning of Section 409A), then each installment of the severance payments and benefits shall be made on the dates and terms set forth in this Section 4.</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17</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(c) If, as of the date of the Executive’s “separation from service” from the Company, the Executive is a “specified employee” (each, for purposes of this Agreement, within the meaning of Section 409A), then:</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(i) Each installment of the severance payments and benefits due under this Section 4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1.409A-1(b)(4) to the maximum extent permissible under Section 409A and such payments and benefits shall be paid or provided on the dates and terms set forth in this Agreement; and</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(ii) Each installment of the severance payments and benefits due under this Section 4 that is not described in Section 4.6(c)(i) above and that would, absent this subsection, be paid within the six-month period following the Executive’s “separation from service” from the Company shall not be paid until the date that is six months and one day after such separation from service (or, if earlier, the death of the Executive),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severance payments and benefits if and to the maximum extent that such installment is deemed to be paid under a separation pay plan that does not provide for a deferral of compensation by reason of the application of Treasury Regulation 1.409A-l(b)(9)(iii) (relating to separation pay upon an involuntary separation from service). Any installments that qualify for the exception under Treasury Regulation Section 1.409A-1(b)(9)(iii) must be paid no later than the last day of the second taxable year of the Executive following the taxable year of the Executive in which the separation from service occurs.</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(d) The determination of whether and when the Executive’s separation from service from the Company has occurred shall be made and in a manner consistent with and based on the presumptions set forth in, Treasury Regulation Section 1.409A-l(h). Solely for purposes of this Section 4.6, “Company” shall include all persons with whom the Company would be considered a single employer under Section 414 and 414(c) of the Code.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(e) All reimbursements and in-kind benefits provided under this Agreement shall be made or provided in accordance with the requirements of Sections 409A to the extent that such reimbursements or in-kind benefits are subject to Section 409A, including, where applicable, the requirements that (i) any reimbursement is for expenses incurred during the Executive’s lifetime (or during a shorter period of time specified in this Agreement), (ii) the amount of expenses eligible for reimbursement during a calendar year may not affect the expenses eligible for</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18</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(f) Notwithstanding anything herein to the contrary, neither the Company, the Board nor its or their designees or agents shall have any liability to the Executive or to any other person if the payments and benefits provided hereunder that are intended to be exempt from or compliant with Section 409A are not so exempt or compliant.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4.7 </w:t>
      </w:r>
      <w:r>
        <w:rPr>
          <w:rFonts w:ascii="Times New Roman" w:hAnsi="Times New Roman"/>
          <w:color w:val="000000"/>
          <w:sz w:val="24"/>
          <w:u w:val="single"/>
        </w:rPr>
        <w:t>Release; Sole Remedy</w:t>
      </w:r>
      <w:r>
        <w:rPr>
          <w:rFonts w:ascii="Times New Roman" w:hAnsi="Times New Roman"/>
          <w:color w:val="000000"/>
          <w:sz w:val="24"/>
        </w:rPr>
        <w:t>. The Company’s obligation to make the severance payments and provide the severance benefits to the Executive under this Agreement are conditioned upon (i) the execution and non-revocation by the Executive of a release of claims (in a form provided by the Company within fourteen (14) days following the end of Executive’s employment) (the “</w:t>
      </w:r>
      <w:r>
        <w:rPr>
          <w:rFonts w:ascii="Times New Roman" w:hAnsi="Times New Roman"/>
          <w:color w:val="000000"/>
          <w:sz w:val="24"/>
          <w:u w:val="single"/>
        </w:rPr>
        <w:t>Release</w:t>
      </w:r>
      <w:r>
        <w:rPr>
          <w:rFonts w:ascii="Times New Roman" w:hAnsi="Times New Roman"/>
          <w:color w:val="000000"/>
          <w:sz w:val="20"/>
        </w:rPr>
        <w:t>”</w:t>
      </w:r>
      <w:r>
        <w:rPr>
          <w:rFonts w:ascii="Times New Roman" w:hAnsi="Times New Roman"/>
          <w:color w:val="000000"/>
          <w:sz w:val="24"/>
        </w:rPr>
        <w:t>) within 60 days following the Date of Termination, and (ii) the Executive’s compliance with any employment, consulting, advisory, nondisclosure, non-competition or other similar agreement between the Executive and the Company, provided that the Executive shall be deemed to have been in compliance with the provisions of such agreement if, within ten (10) days of written notice thereof, such noncompliance is cured, unless the Board determines in good faith that noncompliance is not curable, and (b) constitute the sole remedy of the Executive in the event of a termination of the Executive’s employment for any reason. The date on which the Release becomes effective shall be the “</w:t>
      </w:r>
      <w:r>
        <w:rPr>
          <w:rFonts w:ascii="Times New Roman" w:hAnsi="Times New Roman"/>
          <w:color w:val="000000"/>
          <w:sz w:val="24"/>
          <w:u w:val="single"/>
        </w:rPr>
        <w:t>Release Effective Date</w:t>
      </w:r>
      <w:r>
        <w:rPr>
          <w:rFonts w:ascii="Times New Roman" w:hAnsi="Times New Roman"/>
          <w:color w:val="000000"/>
          <w:sz w:val="24"/>
        </w:rPr>
        <w:t>.” Notwithstanding the foregoing, if the 60</w:t>
      </w:r>
      <w:r>
        <w:rPr>
          <w:rFonts w:ascii="Times New Roman" w:hAnsi="Times New Roman"/>
          <w:color w:val="000000"/>
          <w:sz w:val="20"/>
        </w:rPr>
        <w:t xml:space="preserve">th </w:t>
      </w:r>
      <w:r>
        <w:rPr>
          <w:rFonts w:ascii="Times New Roman" w:hAnsi="Times New Roman"/>
          <w:color w:val="000000"/>
          <w:sz w:val="24"/>
        </w:rPr>
        <w:t>day following the date of termination occurs in the calendar year following the calendar year of the termination, then the Release Effective Date shall be no earlier than January 1 of such subsequent calendar year.</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4.8 </w:t>
      </w:r>
      <w:r>
        <w:rPr>
          <w:rFonts w:ascii="Times New Roman" w:hAnsi="Times New Roman"/>
          <w:color w:val="000000"/>
          <w:sz w:val="24"/>
          <w:u w:val="single"/>
        </w:rPr>
        <w:t>Mitigation</w:t>
      </w:r>
      <w:r>
        <w:rPr>
          <w:rFonts w:ascii="Times New Roman" w:hAnsi="Times New Roman"/>
          <w:color w:val="000000"/>
          <w:sz w:val="24"/>
        </w:rPr>
        <w:t>. The Executive shall not be required to mitigate the amount of any payment or benefits provided for in this Section 4 by seeking other employment or otherwise. Further, except as provided in Section 4.1(b)(i) and Section 4.5, the amount of any payment or benefits provided for in this Section 4 shall not be reduced by any compensation earned by the Executive as a result of employment by another employer, by retirement benefits, by offset against any amount claimed to be owed by the Executive to the Company or otherwise.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Disputes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5.1 </w:t>
      </w:r>
      <w:r>
        <w:rPr>
          <w:rFonts w:ascii="Times New Roman" w:hAnsi="Times New Roman"/>
          <w:color w:val="000000"/>
          <w:sz w:val="24"/>
          <w:u w:val="single"/>
        </w:rPr>
        <w:t>Settlement of Disputes; Arbitration</w:t>
      </w:r>
      <w:r>
        <w:rPr>
          <w:rFonts w:ascii="Times New Roman" w:hAnsi="Times New Roman"/>
          <w:color w:val="000000"/>
          <w:sz w:val="24"/>
        </w:rPr>
        <w:t>. All claims by the Executive for benefits under this Agreement shall be directed to and determined by the Board and shall be in writing. Any denial by the Board of a claim for benefits under this Agreement shall be delivered to the Executive in writing and shall set forth the specific reasons for the denial and the specific provisions of this Agreement relied upon. The Board shall afford a reasonable opportunity to the Executive for a review of the decision denying a claim. Any further dispute or controversy arising under or in connection with this Agreement shall be settled exclusively by binding arbitration in Boston, Massachusetts, in accordance with the</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19</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Employment Arbitration rules of the American Arbitration Association then in effect. Judgment may be entered on the arbitrator’s award in any court having jurisdiction.</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5.2 </w:t>
      </w:r>
      <w:r>
        <w:rPr>
          <w:rFonts w:ascii="Times New Roman" w:hAnsi="Times New Roman"/>
          <w:color w:val="000000"/>
          <w:sz w:val="24"/>
          <w:u w:val="single"/>
        </w:rPr>
        <w:t>Expenses</w:t>
      </w:r>
      <w:r>
        <w:rPr>
          <w:rFonts w:ascii="Times New Roman" w:hAnsi="Times New Roman"/>
          <w:color w:val="000000"/>
          <w:sz w:val="24"/>
        </w:rPr>
        <w:t>. If the Change in Control Date occurs during the Term, the Company agrees to pay as incurred, to the full extent permitted by law, all legal, accounting and other fees and expenses which the Executive may reasonably incur after the Change in Control Date as a result of any claim or contest (regardless of the outcome thereof) by the Company, the Executive or others regarding the validity or enforceability of, or liability under, any provision of this Agreement or any guarantee of performance thereof (including as a result of any contest by the Executive regarding the amount of any payment or benefits pursuant to this Agreement), plus in each case interest on any delayed payment at the applicable Federal rate provided for in Section 7872(f)(2)(A) of the Code. Prior to the Change in Control Date occurring during the Term, the parties agree that the prevailing party shall be entitled to recover from the other party, to the full extent permitted by law, all legal, accounting and other fees and expenses which the other may reasonably incur as a result of any claim or contest regarding the validity or enforceability of, or liability under, any provision of this Agreement or any guarantee of performance thereof (including as a result of any contest by the Executive regarding the amount of any payment or benefits pursuant to this Agreement), plus in each case interest on any delayed payment at the applicable Federal rate provided for in Section 7872(f)(2)(A) of the Code.</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5.3 </w:t>
      </w:r>
      <w:r>
        <w:rPr>
          <w:rFonts w:ascii="Times New Roman" w:hAnsi="Times New Roman"/>
          <w:color w:val="000000"/>
          <w:sz w:val="24"/>
          <w:u w:val="single"/>
        </w:rPr>
        <w:t>Compensation During a Dispute</w:t>
      </w:r>
      <w:r>
        <w:rPr>
          <w:rFonts w:ascii="Times New Roman" w:hAnsi="Times New Roman"/>
          <w:color w:val="000000"/>
          <w:sz w:val="24"/>
        </w:rPr>
        <w:t>. If the Change in Control Date occurs during the Term and the Executive’s employment with the Company terminates within twenty-four (24) months following the Change in Control Date, and the right of the Executive to receive benefits under Section 4 (or the amount or nature of the benefits to which the Executive is entitled to receive) are the subject of a bona fide dispute between the Company and the Executive, the Company shall continue (a) to pay to the Executive the Executive’s base salary in effect as of the Measurement Date and (b) to provide benefits to the Executive and the Executive’s family at least equal to those which would have been provided to them, if the Executive’s employment had not been terminated, in accordance with the applicable benefit plans in effect on the Measurement Date, until such dispute is resolved either by mutual written agreement of the parties or by an arbitrator’s award pursuant to Section 5.1. Following the resolution of such dispute, the sum of the payments made to the Executive under clause (a) of this Section 5.3 shall be deducted from any cash payment which the Executive is entitled to receive pursuant to Section 4; and if such sum exceeds the amount of the cash payment which the Executive is entitled to receive pursuant to Section 4, the excess of such sum over the amount of such payment shall be repaid (without interest) by the Executive to the Company within 60 days of the resolution of such dispute.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Successors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6.1 </w:t>
      </w:r>
      <w:r>
        <w:rPr>
          <w:rFonts w:ascii="Times New Roman" w:hAnsi="Times New Roman"/>
          <w:color w:val="000000"/>
          <w:sz w:val="24"/>
          <w:u w:val="single"/>
        </w:rPr>
        <w:t>Successor to Company</w:t>
      </w:r>
      <w:r>
        <w:rPr>
          <w:rFonts w:ascii="Times New Roman" w:hAnsi="Times New Roman"/>
          <w:color w:val="000000"/>
          <w:sz w:val="24"/>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such succession had taken place. Failure of the Company to obtain an assumption of this Agreement at or prior to the effectiveness of any succession shall be a breach of</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20</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this Agreement and shall constitute Good Reason if the Executive elects to terminate employment, except that for purposes of implementing the foregoing, the date on which any such succession becomes effective shall be deemed the Date of Termination. As used in this Agreement, “Company” shall mean the Company as defined above and any successor to its business or assets as aforesaid which assumes and agrees to perform this Agreement, by operation of law or otherwise.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6.2 </w:t>
      </w:r>
      <w:r>
        <w:rPr>
          <w:rFonts w:ascii="Times New Roman" w:hAnsi="Times New Roman"/>
          <w:color w:val="000000"/>
          <w:sz w:val="24"/>
          <w:u w:val="single"/>
        </w:rPr>
        <w:t>Successor to Executive</w:t>
      </w:r>
      <w:r>
        <w:rPr>
          <w:rFonts w:ascii="Times New Roman" w:hAnsi="Times New Roman"/>
          <w:color w:val="000000"/>
          <w:sz w:val="24"/>
        </w:rPr>
        <w:t>. This Agreement shall inure to the benefit of and be enforceable by the Executive’s personal or legal representatives, executors, administrators, successors, heirs, distributees, devisees and legatees. If the Executive should die while any amount would still be payable to the Executive or the Executive’s family hereunder if the Executive had continued to live, all such amounts, unless otherwise provided herein, shall be paid in accordance with the terms of this Agreement to the executors, personal representatives or administrators of the Executive’s estate.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Notice</w:t>
      </w:r>
      <w:r>
        <w:rPr>
          <w:rFonts w:ascii="Times New Roman" w:hAnsi="Times New Roman"/>
          <w:color w:val="000000"/>
          <w:sz w:val="24"/>
        </w:rPr>
        <w:t>. All notices, instructions and other communications given hereunder or in connection herewith shall be in writing. Any such notice, instruction or communication shall be sent either (i) by registered or certified mail, return receipt requested, postage prepaid, or (ii) prepaid via a reputable nationwide overnight courier service, in each case addressed to the Company, at 200 Minuteman Road, Andover, Massachusetts 01810, Attn: Chief Executive Officer, and to the Executive at the Executive’s last residential address on file at the Company (or to such other address as either the Company or the Executive may have furnished to the other in writing in accordance herewith). Any such notice, instruction or communication shall be deemed to have been delivered five business days after it is sent by registered or certified mail, return receipt requested, postage prepaid, or one business day after it is sent via a reputable nationwide overnight courier service. Either party may give any notice, instruction or other communication hereunder using any other means, but no such notice, instruction or other communication shall be deemed to have been duly delivered unless and until it actually is received by the party for whom it is intended.</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Miscellaneous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8.1 </w:t>
      </w:r>
      <w:r>
        <w:rPr>
          <w:rFonts w:ascii="Times New Roman" w:hAnsi="Times New Roman"/>
          <w:color w:val="000000"/>
          <w:sz w:val="24"/>
          <w:u w:val="single"/>
        </w:rPr>
        <w:t>Employment by Subsidiary</w:t>
      </w:r>
      <w:r>
        <w:rPr>
          <w:rFonts w:ascii="Times New Roman" w:hAnsi="Times New Roman"/>
          <w:color w:val="000000"/>
          <w:sz w:val="24"/>
        </w:rPr>
        <w:t>. For purposes of this Agreement, the Executive’s employment with the Company shall not be deemed to have terminated solely as a result of the Executive continuing to be employed by a wholly-owned subsidiary of the Company.</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8.2 </w:t>
      </w:r>
      <w:r>
        <w:rPr>
          <w:rFonts w:ascii="Times New Roman" w:hAnsi="Times New Roman"/>
          <w:color w:val="000000"/>
          <w:sz w:val="24"/>
          <w:u w:val="single"/>
        </w:rPr>
        <w:t>Severability</w:t>
      </w:r>
      <w:r>
        <w:rPr>
          <w:rFonts w:ascii="Times New Roman" w:hAnsi="Times New Roman"/>
          <w:color w:val="000000"/>
          <w:sz w:val="24"/>
        </w:rPr>
        <w:t>. The invalidity or unenforceability of any provision of this Agreement shall not affect the validity or enforceability of any other provision of this Agreement, which shall remain in full force and effect.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8.3 </w:t>
      </w:r>
      <w:r>
        <w:rPr>
          <w:rFonts w:ascii="Times New Roman" w:hAnsi="Times New Roman"/>
          <w:color w:val="000000"/>
          <w:sz w:val="24"/>
          <w:u w:val="single"/>
        </w:rPr>
        <w:t>Injunctive Relief</w:t>
      </w:r>
      <w:r>
        <w:rPr>
          <w:rFonts w:ascii="Times New Roman" w:hAnsi="Times New Roman"/>
          <w:color w:val="000000"/>
          <w:sz w:val="24"/>
        </w:rPr>
        <w:t>. The Company and the Executive agree that any breach of this Agreement by the Company is likely to cause the Executive substantial and irrevocable damage and therefore, in the event of any such breach, in addition to such other remedies which may be available, the Executive shall have the right to specific performance and injunctive relief.</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21</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8.4 </w:t>
      </w:r>
      <w:r>
        <w:rPr>
          <w:rFonts w:ascii="Times New Roman" w:hAnsi="Times New Roman"/>
          <w:color w:val="000000"/>
          <w:sz w:val="24"/>
          <w:u w:val="single"/>
        </w:rPr>
        <w:t>Governing Law</w:t>
      </w:r>
      <w:r>
        <w:rPr>
          <w:rFonts w:ascii="Times New Roman" w:hAnsi="Times New Roman"/>
          <w:color w:val="000000"/>
          <w:sz w:val="24"/>
        </w:rPr>
        <w:t>. The validity, interpretation, construction and performance of this Agreement shall be governed by the internal laws of the Commonwealth of Massachusetts, without regard to conflicts of law principles.</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8.5 </w:t>
      </w:r>
      <w:r>
        <w:rPr>
          <w:rFonts w:ascii="Times New Roman" w:hAnsi="Times New Roman"/>
          <w:color w:val="000000"/>
          <w:sz w:val="24"/>
          <w:u w:val="single"/>
        </w:rPr>
        <w:t>Waivers</w:t>
      </w:r>
      <w:r>
        <w:rPr>
          <w:rFonts w:ascii="Times New Roman" w:hAnsi="Times New Roman"/>
          <w:color w:val="000000"/>
          <w:sz w:val="24"/>
        </w:rPr>
        <w:t>. No waiver by the Executive at any time of any breach of, or compliance with, any provision of this Agreement to be performed by the Company shall be deemed a waiver of that or any other provision at any subsequent time.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8.6 </w:t>
      </w:r>
      <w:r>
        <w:rPr>
          <w:rFonts w:ascii="Times New Roman" w:hAnsi="Times New Roman"/>
          <w:color w:val="000000"/>
          <w:sz w:val="24"/>
          <w:u w:val="single"/>
        </w:rPr>
        <w:t>Counterparts</w:t>
      </w:r>
      <w:r>
        <w:rPr>
          <w:rFonts w:ascii="Times New Roman" w:hAnsi="Times New Roman"/>
          <w:color w:val="000000"/>
          <w:sz w:val="24"/>
        </w:rPr>
        <w:t>. This Agreement may be executed in counterparts, each of which shall be deemed to be an original but both of which together shall constitute one and the same instrument.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8.7 </w:t>
      </w:r>
      <w:r>
        <w:rPr>
          <w:rFonts w:ascii="Times New Roman" w:hAnsi="Times New Roman"/>
          <w:color w:val="000000"/>
          <w:sz w:val="24"/>
          <w:u w:val="single"/>
        </w:rPr>
        <w:t>Tax Withholding</w:t>
      </w:r>
      <w:r>
        <w:rPr>
          <w:rFonts w:ascii="Times New Roman" w:hAnsi="Times New Roman"/>
          <w:color w:val="000000"/>
          <w:sz w:val="24"/>
        </w:rPr>
        <w:t>. Any payments provided for hereunder shall be paid net of any applicable tax withholding required under federal, state or local law.</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8.8 </w:t>
      </w:r>
      <w:r>
        <w:rPr>
          <w:rFonts w:ascii="Times New Roman" w:hAnsi="Times New Roman"/>
          <w:color w:val="000000"/>
          <w:sz w:val="24"/>
          <w:u w:val="single"/>
        </w:rPr>
        <w:t>Entire Agreement</w:t>
      </w:r>
      <w:r>
        <w:rPr>
          <w:rFonts w:ascii="Times New Roman" w:hAnsi="Times New Roman"/>
          <w:color w:val="000000"/>
          <w:sz w:val="24"/>
        </w:rPr>
        <w:t>. This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any party hereto in respect of the subject matter contained herein; and any prior agreement of the parties hereto in respect of the subject matter contained herein is hereby terminated and cancelled.</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8.9 </w:t>
      </w:r>
      <w:r>
        <w:rPr>
          <w:rFonts w:ascii="Times New Roman" w:hAnsi="Times New Roman"/>
          <w:color w:val="000000"/>
          <w:sz w:val="24"/>
          <w:u w:val="single"/>
        </w:rPr>
        <w:t>Amendments</w:t>
      </w:r>
      <w:r>
        <w:rPr>
          <w:rFonts w:ascii="Times New Roman" w:hAnsi="Times New Roman"/>
          <w:color w:val="000000"/>
          <w:sz w:val="24"/>
        </w:rPr>
        <w:t>. This Agreement may be amended or modified only by a written instrument executed by both the Company and the Executive.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8.10 </w:t>
      </w:r>
      <w:r>
        <w:rPr>
          <w:rFonts w:ascii="Times New Roman" w:hAnsi="Times New Roman"/>
          <w:color w:val="000000"/>
          <w:sz w:val="24"/>
          <w:u w:val="single"/>
        </w:rPr>
        <w:t>Executive’s Acknowledgements</w:t>
      </w:r>
      <w:r>
        <w:rPr>
          <w:rFonts w:ascii="Times New Roman" w:hAnsi="Times New Roman"/>
          <w:color w:val="000000"/>
          <w:sz w:val="24"/>
        </w:rPr>
        <w:t>. The Executive acknowledges that the Executive: (a) has read this Agreement; (b) has been represented in the preparation, negotiation, and execution of this Agreement by legal counsel of the Executive’s own choice or has voluntarily declined to seek such counsel; (c) understands the terms and consequences of this Agreement; and (d) understands that the law firm of Ropes &amp; Gray LLP is acting as counsel to the Company in connection with the transactions contemplated by this Agreement, and is not acting as counsel for the Executive.</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22</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rFonts w:ascii="Times New Roman" w:hAnsi="Times New Roman"/>
          <w:sz w:val="20"/>
        </w:rPr>
      </w:pPr>
      <w:r>
        <w:rPr>
          <w:rFonts w:ascii="Times New Roman" w:hAnsi="Times New Roman"/>
          <w:color w:val="000000"/>
          <w:sz w:val="24"/>
        </w:rPr>
        <w:t>IN WITNESS WHEREOF, the parties hereto have executed this Agreement as of the day and year first set forth above.</w:t>
      </w:r>
      <w:r>
        <w:rPr>
          <w:rFonts w:ascii="Times New Roman" w:hAnsi="Times New Roman"/>
          <w:color w:val="000000"/>
          <w:sz w:val="20"/>
        </w:rPr>
        <w:t xml:space="preserve"> </w:t>
      </w:r>
    </w:p>
    <w:tbl>
      <w:tblPr>
        <w:tblW w:w="3990" w:type="dxa"/>
        <w:jc w:val="left"/>
        <w:tblInd w:w="0" w:type="dxa"/>
        <w:tblLayout w:type="fixed"/>
        <w:tblCellMar>
          <w:top w:w="28" w:type="dxa"/>
          <w:left w:w="28" w:type="dxa"/>
          <w:bottom w:w="28" w:type="dxa"/>
          <w:right w:w="28" w:type="dxa"/>
        </w:tblCellMar>
      </w:tblPr>
      <w:tblGrid>
        <w:gridCol w:w="2143"/>
        <w:gridCol w:w="800"/>
        <w:gridCol w:w="1047"/>
      </w:tblGrid>
      <w:tr>
        <w:trPr/>
        <w:tc>
          <w:tcPr>
            <w:tcW w:w="214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2143" w:type="dxa"/>
            <w:tcBorders/>
            <w:tcMar>
              <w:top w:w="0" w:type="dxa"/>
              <w:left w:w="0" w:type="dxa"/>
              <w:bottom w:w="0" w:type="dxa"/>
              <w:right w:w="0" w:type="dxa"/>
            </w:tcMar>
            <w:vAlign w:val="center"/>
          </w:tcPr>
          <w:p>
            <w:pPr>
              <w:pStyle w:val="TableContents"/>
              <w:bidi w:val="0"/>
              <w:spacing w:before="240" w:after="240"/>
              <w:jc w:val="left"/>
              <w:rPr/>
            </w:pPr>
            <w:r>
              <w:rPr/>
              <w:t> </w:t>
            </w:r>
          </w:p>
        </w:tc>
        <w:tc>
          <w:tcPr>
            <w:tcW w:w="800" w:type="dxa"/>
            <w:tcBorders/>
            <w:tcMar>
              <w:top w:w="0" w:type="dxa"/>
              <w:left w:w="0" w:type="dxa"/>
              <w:bottom w:w="0" w:type="dxa"/>
              <w:right w:w="0" w:type="dxa"/>
            </w:tcMar>
            <w:vAlign w:val="center"/>
          </w:tcPr>
          <w:p>
            <w:pPr>
              <w:pStyle w:val="TableContents"/>
              <w:bidi w:val="0"/>
              <w:spacing w:before="240" w:after="240"/>
              <w:jc w:val="left"/>
              <w:rPr/>
            </w:pPr>
            <w:r>
              <w:rPr/>
              <w:t> </w:t>
            </w:r>
          </w:p>
        </w:tc>
        <w:tc>
          <w:tcPr>
            <w:tcW w:w="1047" w:type="dxa"/>
            <w:tcBorders/>
            <w:tcMar>
              <w:top w:w="0" w:type="dxa"/>
              <w:left w:w="0" w:type="dxa"/>
              <w:bottom w:w="0" w:type="dxa"/>
              <w:right w:w="0" w:type="dxa"/>
            </w:tcMar>
            <w:vAlign w:val="center"/>
          </w:tcPr>
          <w:p>
            <w:pPr>
              <w:pStyle w:val="TableContents"/>
              <w:bidi w:val="0"/>
              <w:spacing w:before="240" w:after="240"/>
              <w:jc w:val="left"/>
              <w:rPr/>
            </w:pPr>
            <w:r>
              <w:rPr/>
              <w:t> </w:t>
            </w:r>
          </w:p>
        </w:tc>
      </w:tr>
      <w:tr>
        <w:trPr/>
        <w:tc>
          <w:tcPr>
            <w:tcW w:w="3990" w:type="dxa"/>
            <w:gridSpan w:val="3"/>
            <w:tcBorders/>
            <w:tcMar>
              <w:top w:w="0" w:type="dxa"/>
              <w:left w:w="0" w:type="dxa"/>
              <w:bottom w:w="0" w:type="dxa"/>
              <w:right w:w="0" w:type="dxa"/>
            </w:tcMar>
            <w:vAlign w:val="center"/>
          </w:tcPr>
          <w:p>
            <w:pPr>
              <w:pStyle w:val="TableContents"/>
              <w:bidi w:val="0"/>
              <w:spacing w:before="240" w:after="240"/>
              <w:jc w:val="left"/>
              <w:rPr>
                <w:rFonts w:ascii="Times New Roman" w:hAnsi="Times New Roman"/>
                <w:color w:val="000000"/>
                <w:sz w:val="22"/>
              </w:rPr>
            </w:pPr>
            <w:r>
              <w:rPr>
                <w:rFonts w:ascii="Times New Roman" w:hAnsi="Times New Roman"/>
                <w:color w:val="000000"/>
                <w:sz w:val="22"/>
              </w:rPr>
              <w:t>TRANSMEDICS, INC.</w:t>
            </w:r>
          </w:p>
        </w:tc>
      </w:tr>
      <w:tr>
        <w:trPr/>
        <w:tc>
          <w:tcPr>
            <w:tcW w:w="2143" w:type="dxa"/>
            <w:tcBorders/>
            <w:tcMar>
              <w:top w:w="0" w:type="dxa"/>
              <w:left w:w="0" w:type="dxa"/>
              <w:bottom w:w="0" w:type="dxa"/>
              <w:right w:w="0" w:type="dxa"/>
            </w:tcMar>
            <w:vAlign w:val="center"/>
          </w:tcPr>
          <w:p>
            <w:pPr>
              <w:pStyle w:val="TableContents"/>
              <w:bidi w:val="0"/>
              <w:spacing w:before="240" w:after="240"/>
              <w:jc w:val="left"/>
              <w:rPr/>
            </w:pPr>
            <w:r>
              <w:rPr/>
              <w:t> </w:t>
            </w:r>
          </w:p>
        </w:tc>
        <w:tc>
          <w:tcPr>
            <w:tcW w:w="1847" w:type="dxa"/>
            <w:gridSpan w:val="2"/>
            <w:tcBorders/>
            <w:tcMar>
              <w:top w:w="0" w:type="dxa"/>
              <w:left w:w="0" w:type="dxa"/>
              <w:bottom w:w="0" w:type="dxa"/>
              <w:right w:w="0" w:type="dxa"/>
            </w:tcMar>
            <w:vAlign w:val="center"/>
          </w:tcPr>
          <w:p>
            <w:pPr>
              <w:pStyle w:val="TableContents"/>
              <w:bidi w:val="0"/>
              <w:spacing w:before="240" w:after="240"/>
              <w:jc w:val="left"/>
              <w:rPr/>
            </w:pPr>
            <w:r>
              <w:rPr/>
              <w:t> </w:t>
            </w:r>
          </w:p>
        </w:tc>
      </w:tr>
      <w:tr>
        <w:trPr/>
        <w:tc>
          <w:tcPr>
            <w:tcW w:w="2143" w:type="dxa"/>
            <w:tcBorders/>
            <w:tcMar>
              <w:top w:w="0" w:type="dxa"/>
              <w:left w:w="0" w:type="dxa"/>
              <w:bottom w:w="0" w:type="dxa"/>
              <w:right w:w="0" w:type="dxa"/>
            </w:tcMar>
            <w:vAlign w:val="center"/>
          </w:tcPr>
          <w:p>
            <w:pPr>
              <w:pStyle w:val="TableContents"/>
              <w:bidi w:val="0"/>
              <w:spacing w:before="240" w:after="240"/>
              <w:jc w:val="left"/>
              <w:rPr>
                <w:rFonts w:ascii="Times New Roman" w:hAnsi="Times New Roman"/>
                <w:color w:val="000000"/>
                <w:sz w:val="22"/>
              </w:rPr>
            </w:pPr>
            <w:r>
              <w:rPr>
                <w:rFonts w:ascii="Times New Roman" w:hAnsi="Times New Roman"/>
                <w:color w:val="000000"/>
                <w:sz w:val="22"/>
              </w:rPr>
              <w:t>By:</w:t>
            </w:r>
          </w:p>
        </w:tc>
        <w:tc>
          <w:tcPr>
            <w:tcW w:w="800" w:type="dxa"/>
            <w:tcBorders/>
            <w:tcMar>
              <w:top w:w="0" w:type="dxa"/>
              <w:left w:w="0" w:type="dxa"/>
              <w:bottom w:w="0" w:type="dxa"/>
              <w:right w:w="0" w:type="dxa"/>
            </w:tcMar>
            <w:vAlign w:val="center"/>
          </w:tcPr>
          <w:p>
            <w:pPr>
              <w:pStyle w:val="TableContents"/>
              <w:bidi w:val="0"/>
              <w:spacing w:before="240" w:after="240"/>
              <w:jc w:val="left"/>
              <w:rPr/>
            </w:pPr>
            <w:r>
              <w:rPr/>
              <w:t> </w:t>
            </w:r>
          </w:p>
        </w:tc>
        <w:tc>
          <w:tcPr>
            <w:tcW w:w="1047" w:type="dxa"/>
            <w:tcBorders/>
            <w:tcMar>
              <w:top w:w="0" w:type="dxa"/>
              <w:left w:w="0" w:type="dxa"/>
              <w:bottom w:w="0" w:type="dxa"/>
              <w:right w:w="0" w:type="dxa"/>
            </w:tcMar>
            <w:vAlign w:val="center"/>
          </w:tcPr>
          <w:p>
            <w:pPr>
              <w:pStyle w:val="TableContents"/>
              <w:pBdr>
                <w:bottom w:val="single" w:sz="6" w:space="1" w:color="000000"/>
              </w:pBdr>
              <w:bidi w:val="0"/>
              <w:spacing w:before="240" w:after="20"/>
              <w:jc w:val="left"/>
              <w:rPr/>
            </w:pPr>
            <w:r>
              <w:rPr/>
              <w:t> </w:t>
            </w:r>
          </w:p>
        </w:tc>
      </w:tr>
      <w:tr>
        <w:trPr/>
        <w:tc>
          <w:tcPr>
            <w:tcW w:w="3990" w:type="dxa"/>
            <w:gridSpan w:val="3"/>
            <w:tcBorders/>
            <w:tcMar>
              <w:top w:w="0" w:type="dxa"/>
              <w:left w:w="0" w:type="dxa"/>
              <w:bottom w:w="0" w:type="dxa"/>
              <w:right w:w="0" w:type="dxa"/>
            </w:tcMar>
            <w:vAlign w:val="center"/>
          </w:tcPr>
          <w:p>
            <w:pPr>
              <w:pStyle w:val="TableContents"/>
              <w:bidi w:val="0"/>
              <w:spacing w:before="240" w:after="240"/>
              <w:jc w:val="left"/>
              <w:rPr>
                <w:rFonts w:ascii="Times New Roman" w:hAnsi="Times New Roman"/>
                <w:color w:val="000000"/>
                <w:sz w:val="22"/>
              </w:rPr>
            </w:pPr>
            <w:r>
              <w:rPr>
                <w:rFonts w:ascii="Times New Roman" w:hAnsi="Times New Roman"/>
                <w:color w:val="000000"/>
                <w:sz w:val="22"/>
              </w:rPr>
              <w:t>Waleed H. Hassanein, M.D.</w:t>
            </w:r>
          </w:p>
          <w:p>
            <w:pPr>
              <w:pStyle w:val="TableContents"/>
              <w:bidi w:val="0"/>
              <w:spacing w:before="240" w:after="20"/>
              <w:jc w:val="left"/>
              <w:rPr>
                <w:rFonts w:ascii="Times New Roman" w:hAnsi="Times New Roman"/>
                <w:color w:val="000000"/>
                <w:sz w:val="22"/>
              </w:rPr>
            </w:pPr>
            <w:r>
              <w:rPr>
                <w:rFonts w:ascii="Times New Roman" w:hAnsi="Times New Roman"/>
                <w:color w:val="000000"/>
                <w:sz w:val="22"/>
              </w:rPr>
              <w:t>Its President and Chief Executive Officer</w:t>
            </w:r>
          </w:p>
          <w:p>
            <w:pPr>
              <w:pStyle w:val="TableContents"/>
              <w:bidi w:val="0"/>
              <w:spacing w:before="240" w:after="20"/>
              <w:jc w:val="left"/>
              <w:rPr/>
            </w:pPr>
            <w:r>
              <w:rPr/>
              <w:t> </w:t>
            </w:r>
          </w:p>
          <w:p>
            <w:pPr>
              <w:pStyle w:val="TableContents"/>
              <w:bidi w:val="0"/>
              <w:spacing w:before="240" w:after="20"/>
              <w:jc w:val="left"/>
              <w:rPr/>
            </w:pPr>
            <w:r>
              <w:rPr/>
              <w:t> </w:t>
            </w:r>
          </w:p>
          <w:p>
            <w:pPr>
              <w:pStyle w:val="TableContents"/>
              <w:bidi w:val="0"/>
              <w:spacing w:before="240" w:after="20"/>
              <w:jc w:val="left"/>
              <w:rPr/>
            </w:pPr>
            <w:r>
              <w:rPr/>
              <w:t> </w:t>
            </w:r>
          </w:p>
          <w:p>
            <w:pPr>
              <w:pStyle w:val="TableContents"/>
              <w:bidi w:val="0"/>
              <w:spacing w:before="240" w:after="20"/>
              <w:jc w:val="left"/>
              <w:rPr/>
            </w:pPr>
            <w:r>
              <w:rPr/>
              <w:t> </w:t>
            </w:r>
          </w:p>
        </w:tc>
      </w:tr>
      <w:tr>
        <w:trPr/>
        <w:tc>
          <w:tcPr>
            <w:tcW w:w="3990" w:type="dxa"/>
            <w:gridSpan w:val="3"/>
            <w:tcBorders/>
            <w:tcMar>
              <w:top w:w="0" w:type="dxa"/>
              <w:left w:w="0" w:type="dxa"/>
              <w:bottom w:w="0" w:type="dxa"/>
              <w:right w:w="0" w:type="dxa"/>
            </w:tcMar>
            <w:vAlign w:val="center"/>
          </w:tcPr>
          <w:p>
            <w:pPr>
              <w:pStyle w:val="TableContents"/>
              <w:bidi w:val="0"/>
              <w:spacing w:before="240" w:after="240"/>
              <w:jc w:val="left"/>
              <w:rPr/>
            </w:pPr>
            <w:r>
              <w:rPr/>
              <w:t> </w:t>
            </w:r>
          </w:p>
        </w:tc>
      </w:tr>
      <w:tr>
        <w:trPr/>
        <w:tc>
          <w:tcPr>
            <w:tcW w:w="3990" w:type="dxa"/>
            <w:gridSpan w:val="3"/>
            <w:tcBorders>
              <w:bottom w:val="single" w:sz="4" w:space="0" w:color="000000"/>
            </w:tcBorders>
            <w:tcMar>
              <w:top w:w="0" w:type="dxa"/>
              <w:left w:w="0" w:type="dxa"/>
              <w:right w:w="0" w:type="dxa"/>
            </w:tcMar>
            <w:vAlign w:val="center"/>
          </w:tcPr>
          <w:p>
            <w:pPr>
              <w:pStyle w:val="TableContents"/>
              <w:bidi w:val="0"/>
              <w:spacing w:before="240" w:after="240"/>
              <w:jc w:val="left"/>
              <w:rPr/>
            </w:pPr>
            <w:r>
              <w:rPr/>
              <w:t> </w:t>
            </w:r>
          </w:p>
        </w:tc>
      </w:tr>
      <w:tr>
        <w:trPr/>
        <w:tc>
          <w:tcPr>
            <w:tcW w:w="3990" w:type="dxa"/>
            <w:gridSpan w:val="3"/>
            <w:tcBorders/>
            <w:tcMar>
              <w:top w:w="0" w:type="dxa"/>
              <w:left w:w="0" w:type="dxa"/>
              <w:bottom w:w="0" w:type="dxa"/>
              <w:right w:w="0" w:type="dxa"/>
            </w:tcMar>
            <w:vAlign w:val="center"/>
          </w:tcPr>
          <w:p>
            <w:pPr>
              <w:pStyle w:val="TableContents"/>
              <w:bidi w:val="0"/>
              <w:spacing w:before="240" w:after="240"/>
              <w:jc w:val="left"/>
              <w:rPr>
                <w:rFonts w:ascii="Times New Roman" w:hAnsi="Times New Roman"/>
                <w:color w:val="000000"/>
                <w:sz w:val="22"/>
              </w:rPr>
            </w:pPr>
            <w:r>
              <w:rPr>
                <w:rFonts w:ascii="Times New Roman" w:hAnsi="Times New Roman"/>
                <w:color w:val="000000"/>
                <w:sz w:val="22"/>
              </w:rPr>
              <w:t>[NAME]</w:t>
            </w:r>
          </w:p>
        </w:tc>
      </w:tr>
    </w:tbl>
    <w:p>
      <w:pPr>
        <w:pStyle w:val="TextBody"/>
        <w:bidi w:val="0"/>
        <w:spacing w:before="240" w:after="240"/>
        <w:jc w:val="center"/>
        <w:rPr/>
      </w:pPr>
      <w:r>
        <w:rPr/>
        <w:t> </w:t>
      </w:r>
    </w:p>
    <w:p>
      <w:pPr>
        <w:pStyle w:val="TextBody"/>
        <w:bidi w:val="0"/>
        <w:jc w:val="left"/>
        <w:rPr/>
      </w:pPr>
      <w:r>
        <w:rPr/>
        <w:t> </w:t>
      </w:r>
    </w:p>
    <w:p>
      <w:pPr>
        <w:pStyle w:val="TextBody"/>
        <w:bidi w:val="0"/>
        <w:jc w:val="left"/>
        <w:rPr/>
      </w:pPr>
      <w:r>
        <w:rPr/>
        <w:t> </w:t>
      </w:r>
    </w:p>
    <w:p>
      <w:pPr>
        <w:pStyle w:val="TextBody"/>
        <w:bidi w:val="0"/>
        <w:spacing w:before="240" w:after="240"/>
        <w:jc w:val="left"/>
        <w:rPr/>
      </w:pPr>
      <w:r>
        <w:rPr/>
        <w:t>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23</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right"/>
        <w:rPr>
          <w:rFonts w:ascii="Times New Roman" w:hAnsi="Times New Roman"/>
          <w:b/>
          <w:color w:val="4D4D50"/>
          <w:sz w:val="24"/>
        </w:rPr>
      </w:pPr>
      <w:r>
        <w:rPr>
          <w:rFonts w:ascii="Times New Roman" w:hAnsi="Times New Roman"/>
          <w:b/>
          <w:color w:val="4D4D50"/>
          <w:sz w:val="24"/>
        </w:rPr>
        <w:t>Exhibit B</w:t>
      </w:r>
    </w:p>
    <w:p>
      <w:pPr>
        <w:pStyle w:val="TextBody"/>
        <w:bidi w:val="0"/>
        <w:jc w:val="left"/>
        <w:rPr>
          <w:rFonts w:ascii="Avenir Next LT Pro;sans-serif" w:hAnsi="Avenir Next LT Pro;sans-serif"/>
          <w:b/>
          <w:color w:val="A5051D"/>
          <w:sz w:val="28"/>
        </w:rPr>
      </w:pPr>
      <w:r>
        <w:rPr>
          <w:rFonts w:ascii="Avenir Next LT Pro;sans-serif" w:hAnsi="Avenir Next LT Pro;sans-serif"/>
          <w:b/>
          <w:color w:val="A5051D"/>
          <w:sz w:val="28"/>
        </w:rPr>
        <w:t>BUSINESS PROTECTION AGREEMENT</w:t>
      </w:r>
    </w:p>
    <w:p>
      <w:pPr>
        <w:pStyle w:val="TextBody"/>
        <w:bidi w:val="0"/>
        <w:jc w:val="left"/>
        <w:rPr/>
      </w:pPr>
      <w:r>
        <w:rPr/>
        <w:t> </w:t>
      </w:r>
    </w:p>
    <w:p>
      <w:pPr>
        <w:pStyle w:val="TextBody"/>
        <w:bidi w:val="0"/>
        <w:spacing w:before="240" w:after="240"/>
        <w:jc w:val="both"/>
        <w:rPr>
          <w:rFonts w:ascii="Times New Roman" w:hAnsi="Times New Roman"/>
          <w:sz w:val="20"/>
        </w:rPr>
      </w:pPr>
      <w:bookmarkStart w:id="50" w:name="saveserver"/>
      <w:bookmarkEnd w:id="50"/>
      <w:r>
        <w:rPr>
          <w:rFonts w:ascii="Avenir Next LT Pro;sans-serif" w:hAnsi="Avenir Next LT Pro;sans-serif"/>
          <w:color w:val="4D4D50"/>
          <w:sz w:val="24"/>
        </w:rPr>
        <w:t xml:space="preserve">This Business Protection Agreement (the “Agreement”) is made by and between TransMedics, Inc. (the “Company”), and </w:t>
      </w:r>
      <w:r>
        <w:rPr>
          <w:rFonts w:ascii="Avenir Next LT Pro;sans-serif" w:hAnsi="Avenir Next LT Pro;sans-serif"/>
          <w:b/>
          <w:color w:val="4D4D50"/>
          <w:sz w:val="24"/>
        </w:rPr>
        <w:t xml:space="preserve">NAME </w:t>
      </w:r>
      <w:r>
        <w:rPr>
          <w:rFonts w:ascii="Avenir Next LT Pro;sans-serif" w:hAnsi="Avenir Next LT Pro;sans-serif"/>
          <w:color w:val="4D4D50"/>
          <w:sz w:val="24"/>
        </w:rPr>
        <w:t xml:space="preserve">(the “Employee”). For good consideration, including the compensation to be paid to the Employee, the stock option grant that will be made to the Employee and the Employee’s being granted access to the good will, trade secrets and other confidential information of the Company and its affiliates, and in consideration and as a condition of the employment or continued employment of the Employee by the Company, the Employee and the Company agree to be bound by this Agreement, as follows: </w:t>
      </w:r>
    </w:p>
    <w:p>
      <w:pPr>
        <w:pStyle w:val="TextBody"/>
        <w:bidi w:val="0"/>
        <w:spacing w:before="240" w:after="240"/>
        <w:jc w:val="both"/>
        <w:rPr>
          <w:rFonts w:ascii="Avenir Next LT Pro" w:hAnsi="Avenir Next LT Pro"/>
          <w:b/>
          <w:color w:val="A5051D"/>
          <w:sz w:val="24"/>
        </w:rPr>
      </w:pPr>
      <w:r>
        <w:rPr>
          <w:rFonts w:ascii="Avenir Next LT Pro" w:hAnsi="Avenir Next LT Pro"/>
          <w:b/>
          <w:color w:val="A5051D"/>
          <w:sz w:val="24"/>
        </w:rPr>
        <w:t>1.</w:t>
      </w:r>
    </w:p>
    <w:p>
      <w:pPr>
        <w:pStyle w:val="TextBody"/>
        <w:bidi w:val="0"/>
        <w:spacing w:before="240" w:after="240"/>
        <w:jc w:val="both"/>
        <w:rPr>
          <w:rFonts w:ascii="Avenir Next LT Pro;sans-serif" w:hAnsi="Avenir Next LT Pro;sans-serif"/>
          <w:b/>
          <w:color w:val="A5051D"/>
          <w:sz w:val="24"/>
        </w:rPr>
      </w:pPr>
      <w:r>
        <w:rPr>
          <w:rFonts w:ascii="Avenir Next LT Pro;sans-serif" w:hAnsi="Avenir Next LT Pro;sans-serif"/>
          <w:b/>
          <w:color w:val="A5051D"/>
          <w:sz w:val="24"/>
        </w:rPr>
        <w:t>CONDITION OF EMPLOYMENT.</w:t>
      </w:r>
    </w:p>
    <w:p>
      <w:pPr>
        <w:pStyle w:val="TextBody"/>
        <w:bidi w:val="0"/>
        <w:spacing w:before="240" w:after="240"/>
        <w:jc w:val="both"/>
        <w:rPr>
          <w:rFonts w:ascii="Times New Roman" w:hAnsi="Times New Roman"/>
          <w:sz w:val="20"/>
        </w:rPr>
      </w:pPr>
      <w:r>
        <w:rPr>
          <w:rFonts w:ascii="Avenir Next LT Pro;sans-serif" w:hAnsi="Avenir Next LT Pro;sans-serif"/>
          <w:color w:val="4D4D50"/>
          <w:sz w:val="24"/>
        </w:rPr>
        <w:t>The Employee acknowledges that the Employee’s employment and/or the continuance of that employment with the Company is contingent upon the Employee’s agreement to sign and adhere to the provisions of this Agreement. The Employee further acknowledges that the nature of the Company’s business is such that protection of its proprietary and confidential information is critical to the survival and success of the Company’s and its affiliates’ business.</w:t>
      </w:r>
      <w:r>
        <w:rPr>
          <w:rFonts w:ascii="Times New Roman" w:hAnsi="Times New Roman"/>
          <w:color w:val="4D4D50"/>
          <w:sz w:val="20"/>
        </w:rPr>
        <w:t xml:space="preserve"> </w:t>
      </w:r>
    </w:p>
    <w:p>
      <w:pPr>
        <w:pStyle w:val="TextBody"/>
        <w:bidi w:val="0"/>
        <w:spacing w:before="240" w:after="240"/>
        <w:jc w:val="both"/>
        <w:rPr>
          <w:rFonts w:ascii="Avenir Next LT Pro" w:hAnsi="Avenir Next LT Pro"/>
          <w:b/>
          <w:color w:val="A5051D"/>
          <w:sz w:val="24"/>
        </w:rPr>
      </w:pPr>
      <w:r>
        <w:rPr>
          <w:rFonts w:ascii="Avenir Next LT Pro" w:hAnsi="Avenir Next LT Pro"/>
          <w:b/>
          <w:color w:val="A5051D"/>
          <w:sz w:val="24"/>
        </w:rPr>
        <w:t>2.</w:t>
      </w:r>
    </w:p>
    <w:p>
      <w:pPr>
        <w:pStyle w:val="TextBody"/>
        <w:bidi w:val="0"/>
        <w:spacing w:before="240" w:after="240"/>
        <w:jc w:val="both"/>
        <w:rPr>
          <w:rFonts w:ascii="Avenir Next LT Pro;sans-serif" w:hAnsi="Avenir Next LT Pro;sans-serif"/>
          <w:b/>
          <w:color w:val="A5051D"/>
          <w:sz w:val="24"/>
        </w:rPr>
      </w:pPr>
      <w:r>
        <w:rPr>
          <w:rFonts w:ascii="Avenir Next LT Pro;sans-serif" w:hAnsi="Avenir Next LT Pro;sans-serif"/>
          <w:b/>
          <w:color w:val="A5051D"/>
          <w:sz w:val="24"/>
        </w:rPr>
        <w:t>PROPRIETARY AND CONFIDENTIAL INFORMATION.</w:t>
      </w:r>
    </w:p>
    <w:p>
      <w:pPr>
        <w:pStyle w:val="TextBody"/>
        <w:bidi w:val="0"/>
        <w:spacing w:before="240" w:after="240"/>
        <w:jc w:val="both"/>
        <w:rPr/>
      </w:pPr>
      <w:r>
        <w:rPr/>
        <w:t> </w:t>
      </w:r>
    </w:p>
    <w:p>
      <w:pPr>
        <w:pStyle w:val="TextBody"/>
        <w:bidi w:val="0"/>
        <w:spacing w:before="240" w:after="240"/>
        <w:jc w:val="both"/>
        <w:rPr>
          <w:rFonts w:ascii="Avenir Next LT Pro" w:hAnsi="Avenir Next LT Pro"/>
          <w:color w:val="000000"/>
          <w:sz w:val="24"/>
        </w:rPr>
      </w:pPr>
      <w:r>
        <w:rPr>
          <w:rFonts w:ascii="Avenir Next LT Pro" w:hAnsi="Avenir Next LT Pro"/>
          <w:color w:val="000000"/>
          <w:sz w:val="24"/>
        </w:rPr>
        <w:t>A.</w:t>
      </w:r>
    </w:p>
    <w:p>
      <w:pPr>
        <w:pStyle w:val="TextBody"/>
        <w:bidi w:val="0"/>
        <w:spacing w:before="240" w:after="240"/>
        <w:jc w:val="both"/>
        <w:rPr>
          <w:rFonts w:ascii="Avenir Next LT Pro;sans-serif" w:hAnsi="Avenir Next LT Pro;sans-serif"/>
          <w:color w:val="4D4D50"/>
          <w:sz w:val="24"/>
        </w:rPr>
      </w:pPr>
      <w:r>
        <w:rPr>
          <w:rFonts w:ascii="Avenir Next LT Pro;sans-serif" w:hAnsi="Avenir Next LT Pro;sans-serif"/>
          <w:color w:val="4D4D50"/>
          <w:sz w:val="24"/>
        </w:rPr>
        <w:t xml:space="preserve">The Employee agrees that during the course of employment with the Company, the Employee has and will come into contact with and learn various forms of Confidential Information and Trade Secrets, which are the property of the Company. “Confidential Information” are items of information relating to the Company or its affiliates, or their respective products, services, customers, suppliers, vendors, business partners, and employees, that have been developed, compiled, or acquired by the Company at its great effort and expense. The Employee agrees that all information and know-how, whether or not in writing, of a private, secret or confidential nature concerning the Company’s or any of its affiliates’ business or financial affairs is and shall be the exclusive property of the Company and its affiliates. By way of illustration, but not limitation, Confidential Information includes discoveries, ideas, inventions, products, product improvements, product enhancements, processes, methods, techniques, formulas, compositions, compounds, negotiation strategies and positions, projects, developments, plans (including business and marketing plans), research data, clinical data, financial data (including sales costs, profits, pricing methods), personnel data obtained pursuant to the Employee’s duties and responsibilities,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24</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pPr>
      <w:r>
        <w:rPr>
          <w:rFonts w:ascii="Avenir Next LT Pro;sans-serif" w:hAnsi="Avenir Next LT Pro;sans-serif"/>
          <w:color w:val="4D4D50"/>
          <w:sz w:val="24"/>
        </w:rPr>
        <w:t xml:space="preserve">computer programs (including software used pursuant to a license agreement), customer, prospect and supplier lists, and contacts at or knowledge of customers or prospective customers of the Company or any of its affiliates. </w:t>
      </w:r>
      <w:r>
        <w:rPr>
          <w:rFonts w:ascii="Avenir Next LT Pro;sans-serif" w:hAnsi="Avenir Next LT Pro;sans-serif"/>
          <w:color w:val="4D4D50"/>
          <w:sz w:val="23"/>
        </w:rPr>
        <w:t xml:space="preserve">Confidential Information shall also include any comparable information that the Company or any of its affiliates has received belonging to others, or which was received by the Company or any of its affiliates with an obligation or understanding that it would not be disclosed. </w:t>
      </w:r>
      <w:r>
        <w:rPr>
          <w:color w:val="4D4D50"/>
        </w:rPr>
        <w:t>“</w:t>
      </w:r>
      <w:r>
        <w:rPr>
          <w:rFonts w:ascii="Avenir Next LT Pro;sans-serif" w:hAnsi="Avenir Next LT Pro;sans-serif"/>
          <w:color w:val="4D4D50"/>
          <w:sz w:val="24"/>
        </w:rPr>
        <w:t>Trade Secret” means any and all information, knowledge or data in any form whatsoever, tangible or intangible, that is considered a trade secret under applicable law. Except as otherwise permitted by Section 5 below, the Employee will not disclose any Confidential Information or Trade Secrets to any person or entity or use the same for any purposes (other than as required for the proper performance of the Employee’s duties as an employee of the Company) without written approval by an officer of the Company, either during or after the Employee’s employment with the Company, unless and until such Proprietary Information has become public knowledge without fault by the Employee or any other person or entity owing a duty of confidentiality to the Company or any of its affiliates. While employed by the Company, the Employee will use the Employee's best efforts to prevent unauthorized publication or disclosure of any of Confidential Information or Trade Secrets. The Employee understands and agrees that the restrictions set forth in this Section 2A. shall continue to apply after the termination of the Employee’s employment for any reason.</w:t>
      </w:r>
      <w:r>
        <w:rPr>
          <w:color w:val="4D4D50"/>
        </w:rPr>
        <w:t xml:space="preserve"> </w:t>
      </w:r>
    </w:p>
    <w:p>
      <w:pPr>
        <w:pStyle w:val="TextBody"/>
        <w:bidi w:val="0"/>
        <w:spacing w:before="240" w:after="240"/>
        <w:jc w:val="both"/>
        <w:rPr/>
      </w:pPr>
      <w:r>
        <w:rPr/>
        <w:t> </w:t>
      </w:r>
    </w:p>
    <w:p>
      <w:pPr>
        <w:pStyle w:val="TextBody"/>
        <w:bidi w:val="0"/>
        <w:spacing w:before="240" w:after="240"/>
        <w:jc w:val="both"/>
        <w:rPr>
          <w:rFonts w:ascii="Avenir Next LT Pro" w:hAnsi="Avenir Next LT Pro"/>
          <w:color w:val="000000"/>
          <w:sz w:val="24"/>
        </w:rPr>
      </w:pPr>
      <w:r>
        <w:rPr>
          <w:rFonts w:ascii="Avenir Next LT Pro" w:hAnsi="Avenir Next LT Pro"/>
          <w:color w:val="000000"/>
          <w:sz w:val="24"/>
        </w:rPr>
        <w:t>B.</w:t>
      </w:r>
    </w:p>
    <w:p>
      <w:pPr>
        <w:pStyle w:val="TextBody"/>
        <w:bidi w:val="0"/>
        <w:spacing w:before="240" w:after="240"/>
        <w:jc w:val="both"/>
        <w:rPr>
          <w:rFonts w:ascii="Avenir Next LT Pro;sans-serif" w:hAnsi="Avenir Next LT Pro;sans-serif"/>
          <w:color w:val="4D4D50"/>
          <w:sz w:val="24"/>
        </w:rPr>
      </w:pPr>
      <w:r>
        <w:rPr>
          <w:rFonts w:ascii="Avenir Next LT Pro;sans-serif" w:hAnsi="Avenir Next LT Pro;sans-serif"/>
          <w:color w:val="4D4D50"/>
          <w:sz w:val="24"/>
        </w:rPr>
        <w:t>The Employee agrees that all files, documents, letters, memoranda, reports, records, data, sketches, drawings, models, laboratory notebooks, program listings, computer equipment or devices, computer programs or other written, photographic, or other tangible or intangible material containing Confidential Information or Trade Secrets, whether created by the Employee or others, which come into the Employee’s custody, possession or control, shall be and are the exclusive property of the Company and its affiliates to be used by the Employee only in the proper performance of the Employee’s duties for the Company and shall not be copied or removed from the Company’s premises except as required in the proper pursuit of the business of the Company or its affiliates. All such materials or copies thereof and all tangible property of the Company or any of its affiliates in the custody, possession or control of the Employee shall be delivered to the Company, upon the earlier of (i) a request by a duly authorized office of the Company or (ii) termination of the Employee’s employment for any reason. After such delivery, the Employee shall not retain any such materials or copies thereof or any such tangible property. The Employee also agrees to disclose to the Company, at the time the Employee’s employment terminates or at such earlier time or times as a duly authorized officer of the Company may specify, all passwords necessary or desirable to obtain access to, or that would assist in obtaining access to, any information which the Employee has password-protected on any computer equipment, network or system of the Company or any of its affiliates.</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25</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pPr>
      <w:r>
        <w:rPr/>
        <w:t> </w:t>
      </w:r>
    </w:p>
    <w:p>
      <w:pPr>
        <w:pStyle w:val="TextBody"/>
        <w:bidi w:val="0"/>
        <w:spacing w:before="240" w:after="240"/>
        <w:jc w:val="both"/>
        <w:rPr>
          <w:rFonts w:ascii="Avenir Next LT Pro" w:hAnsi="Avenir Next LT Pro"/>
          <w:color w:val="000000"/>
          <w:sz w:val="24"/>
        </w:rPr>
      </w:pPr>
      <w:r>
        <w:rPr>
          <w:rFonts w:ascii="Avenir Next LT Pro" w:hAnsi="Avenir Next LT Pro"/>
          <w:color w:val="000000"/>
          <w:sz w:val="24"/>
        </w:rPr>
        <w:t>C.</w:t>
      </w:r>
    </w:p>
    <w:p>
      <w:pPr>
        <w:pStyle w:val="TextBody"/>
        <w:bidi w:val="0"/>
        <w:spacing w:before="240" w:after="240"/>
        <w:jc w:val="both"/>
        <w:rPr>
          <w:rFonts w:ascii="Avenir Next LT Pro;sans-serif" w:hAnsi="Avenir Next LT Pro;sans-serif"/>
          <w:color w:val="4D4D50"/>
          <w:sz w:val="24"/>
        </w:rPr>
      </w:pPr>
      <w:r>
        <w:rPr>
          <w:rFonts w:ascii="Avenir Next LT Pro;sans-serif" w:hAnsi="Avenir Next LT Pro;sans-serif"/>
          <w:color w:val="4D4D50"/>
          <w:sz w:val="24"/>
        </w:rPr>
        <w:t>The Employee agrees that the Employee’s obligation not to disclose or to use information and materials of the types set forth in Sections 2.A. and 2.B. above, and the Employee’s obligation to return materials and tangible property, set forth in Section 2.B. above, also extends to such types of information, materials and tangible property of customers of the Company of its affiliates or suppliers to the Company or its affiliates or other third parties who may have disclosed or entrusted the same to the Company, its affiliates or to the Employee in the course of the Company’s business with any understanding, express or implied, that it will not be disclosed.</w:t>
      </w:r>
    </w:p>
    <w:p>
      <w:pPr>
        <w:pStyle w:val="TextBody"/>
        <w:bidi w:val="0"/>
        <w:spacing w:before="240" w:after="240"/>
        <w:jc w:val="both"/>
        <w:rPr/>
      </w:pPr>
      <w:r>
        <w:rPr/>
        <w:t> </w:t>
      </w:r>
    </w:p>
    <w:p>
      <w:pPr>
        <w:pStyle w:val="TextBody"/>
        <w:bidi w:val="0"/>
        <w:spacing w:before="240" w:after="240"/>
        <w:jc w:val="both"/>
        <w:rPr>
          <w:rFonts w:ascii="Avenir Next LT Pro" w:hAnsi="Avenir Next LT Pro"/>
          <w:b/>
          <w:color w:val="A5051D"/>
          <w:sz w:val="24"/>
        </w:rPr>
      </w:pPr>
      <w:r>
        <w:rPr>
          <w:rFonts w:ascii="Avenir Next LT Pro" w:hAnsi="Avenir Next LT Pro"/>
          <w:b/>
          <w:color w:val="A5051D"/>
          <w:sz w:val="24"/>
        </w:rPr>
        <w:t>3.</w:t>
      </w:r>
    </w:p>
    <w:p>
      <w:pPr>
        <w:pStyle w:val="TextBody"/>
        <w:bidi w:val="0"/>
        <w:spacing w:before="240" w:after="240"/>
        <w:jc w:val="both"/>
        <w:rPr>
          <w:rFonts w:ascii="Avenir Next LT Pro;sans-serif" w:hAnsi="Avenir Next LT Pro;sans-serif"/>
          <w:b/>
          <w:color w:val="A5051D"/>
          <w:sz w:val="24"/>
        </w:rPr>
      </w:pPr>
      <w:r>
        <w:rPr>
          <w:rFonts w:ascii="Avenir Next LT Pro;sans-serif" w:hAnsi="Avenir Next LT Pro;sans-serif"/>
          <w:b/>
          <w:color w:val="A5051D"/>
          <w:sz w:val="24"/>
        </w:rPr>
        <w:t>DEVELOPMENTS.</w:t>
      </w:r>
    </w:p>
    <w:p>
      <w:pPr>
        <w:pStyle w:val="TextBody"/>
        <w:bidi w:val="0"/>
        <w:spacing w:before="240" w:after="240"/>
        <w:jc w:val="both"/>
        <w:rPr/>
      </w:pPr>
      <w:r>
        <w:rPr/>
        <w:t> </w:t>
      </w:r>
    </w:p>
    <w:p>
      <w:pPr>
        <w:pStyle w:val="TextBody"/>
        <w:bidi w:val="0"/>
        <w:spacing w:before="240" w:after="240"/>
        <w:jc w:val="both"/>
        <w:rPr>
          <w:rFonts w:ascii="Avenir Next LT Pro" w:hAnsi="Avenir Next LT Pro"/>
          <w:color w:val="000000"/>
          <w:sz w:val="24"/>
        </w:rPr>
      </w:pPr>
      <w:r>
        <w:rPr>
          <w:rFonts w:ascii="Avenir Next LT Pro" w:hAnsi="Avenir Next LT Pro"/>
          <w:color w:val="000000"/>
          <w:sz w:val="24"/>
        </w:rPr>
        <w:t>A.</w:t>
      </w:r>
    </w:p>
    <w:p>
      <w:pPr>
        <w:pStyle w:val="TextBody"/>
        <w:bidi w:val="0"/>
        <w:spacing w:before="240" w:after="240"/>
        <w:jc w:val="both"/>
        <w:rPr/>
      </w:pPr>
      <w:r>
        <w:rPr>
          <w:rFonts w:ascii="Avenir Next LT Pro;sans-serif" w:hAnsi="Avenir Next LT Pro;sans-serif"/>
          <w:color w:val="4D4D50"/>
          <w:sz w:val="24"/>
        </w:rPr>
        <w:t xml:space="preserve">The Employee has attached hereto, as </w:t>
      </w:r>
      <w:r>
        <w:rPr>
          <w:rFonts w:ascii="Avenir Next LT Pro;sans-serif" w:hAnsi="Avenir Next LT Pro;sans-serif"/>
          <w:b/>
          <w:color w:val="4D4D50"/>
          <w:sz w:val="24"/>
        </w:rPr>
        <w:t>Appendix 1</w:t>
      </w:r>
      <w:r>
        <w:rPr>
          <w:rFonts w:ascii="Avenir Next LT Pro;sans-serif" w:hAnsi="Avenir Next LT Pro;sans-serif"/>
          <w:color w:val="4D4D50"/>
          <w:sz w:val="24"/>
        </w:rPr>
        <w:t>, a list describing all discoveries, ideas, inventions, improvements, enhancements, processes, procedures, methods, designs, plans, projects, systems, techniques, strategies, works, developments, software, and works of authorship, or modifications or derivatives of any of the foregoing (whether or not patentable, copyrightable or constituting trade secrets) which were created, made, conceived, developed or reduced to practice by the Employee prior to the Employee’s employment by the Company and which are owned by the Employee, which relate directly or indirectly to the current or anticipated future business of the Company or any of its affiliates, and which are not assigned to the Company hereunder (collectively, “Prior Developments”); or, if no such list is attached, the Employee represents that there are no Prior Developments. The Employee agrees not to incorporate any Prior Developments into any product, material, process, or service of the Company or any of its affiliates without prior written consent of an officer of the Company. If the Employee does incorporate any Prior Development into any product, material, process or service of the Company or any of its affiliates, the Employee hereby grants to the Company a non-exclusive, worldwide, perpetual, transferable, irrevocable, royalty-free, fully-paid right and license, with the right to sublicense through multiple tiers, to make, have made, use, offer for sale, sell, import, export, reproduce, modify, prepare derivative works, display, perform, promote, market, transmit, distribute, permit the online use of or otherwise exploit such Prior Development and to practice any method related thereto.</w:t>
      </w:r>
    </w:p>
    <w:p>
      <w:pPr>
        <w:pStyle w:val="TextBody"/>
        <w:bidi w:val="0"/>
        <w:spacing w:before="240" w:after="240"/>
        <w:jc w:val="both"/>
        <w:rPr/>
      </w:pPr>
      <w:r>
        <w:rPr/>
        <w:t> </w:t>
      </w:r>
    </w:p>
    <w:p>
      <w:pPr>
        <w:pStyle w:val="TextBody"/>
        <w:bidi w:val="0"/>
        <w:spacing w:before="240" w:after="240"/>
        <w:jc w:val="both"/>
        <w:rPr>
          <w:rFonts w:ascii="Avenir Next LT Pro" w:hAnsi="Avenir Next LT Pro"/>
          <w:color w:val="000000"/>
          <w:sz w:val="24"/>
        </w:rPr>
      </w:pPr>
      <w:r>
        <w:rPr>
          <w:rFonts w:ascii="Avenir Next LT Pro" w:hAnsi="Avenir Next LT Pro"/>
          <w:color w:val="000000"/>
          <w:sz w:val="24"/>
        </w:rPr>
        <w:t>B.</w:t>
      </w:r>
    </w:p>
    <w:p>
      <w:pPr>
        <w:pStyle w:val="TextBody"/>
        <w:bidi w:val="0"/>
        <w:spacing w:before="240" w:after="240"/>
        <w:jc w:val="both"/>
        <w:rPr>
          <w:rFonts w:ascii="Avenir Next LT Pro;sans-serif" w:hAnsi="Avenir Next LT Pro;sans-serif"/>
          <w:color w:val="4D4D50"/>
          <w:sz w:val="24"/>
        </w:rPr>
      </w:pPr>
      <w:r>
        <w:rPr>
          <w:rFonts w:ascii="Avenir Next LT Pro;sans-serif" w:hAnsi="Avenir Next LT Pro;sans-serif"/>
          <w:color w:val="4D4D50"/>
          <w:sz w:val="24"/>
        </w:rPr>
        <w:t xml:space="preserve">The Employee will make full and prompt disclosure to the Company of all discoveries, ideas, inventions, improvements, enhancements, processes, procedures, methods, designs, plans, projects, systems, techniques, strategies, works, developments, software, and works of authorship, or modifications or derivatives of any of the foregoing (whether or not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26</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pPr>
      <w:r>
        <w:rPr>
          <w:rFonts w:ascii="Avenir Next LT Pro;sans-serif" w:hAnsi="Avenir Next LT Pro;sans-serif"/>
          <w:color w:val="4D4D50"/>
          <w:sz w:val="24"/>
        </w:rPr>
        <w:t xml:space="preserve">patentable , copyrightable or constituting trade secrets) which are created, made, conceived, developed or reduced to practice by the Employee or under the Employee’s direction or jointly with others during the Employee’s employment by the Company, whether or not during normal working hours or on the premises of the Company (all of which are collectively referred to in this Agreement as “Developments”). The Employee acknowledges that each original work of authorship which is made by the Employee (solely or jointly with others) within the scope of and during the period of the Employee’s employment with the Company and which is protectable by copyright is a “work made for hire,” as that term is defined in the United States Copyright Act, and shall, upon creation, be owned exclusively by the Company. The Employee agrees to assign and does hereby assign to the Company (or any person or entity designated by the Company) all the Employee’s right, title, and interest in and to all Developments (other than Prior Developments listed on </w:t>
      </w:r>
      <w:r>
        <w:rPr>
          <w:rFonts w:ascii="Avenir Next LT Pro;sans-serif" w:hAnsi="Avenir Next LT Pro;sans-serif"/>
          <w:b/>
          <w:color w:val="4D4D50"/>
          <w:sz w:val="24"/>
        </w:rPr>
        <w:t>Appendix 1</w:t>
      </w:r>
      <w:r>
        <w:rPr>
          <w:rFonts w:ascii="Avenir Next LT Pro;sans-serif" w:hAnsi="Avenir Next LT Pro;sans-serif"/>
          <w:color w:val="4D4D50"/>
          <w:sz w:val="24"/>
        </w:rPr>
        <w:t xml:space="preserve">, if any) and all related patents, patent applications, copyrights and copyright applications. However, this Section 3.B. shall not apply to Developments </w:t>
      </w:r>
      <w:r>
        <w:rPr>
          <w:rFonts w:ascii="Avenir Next LT Pro;sans-serif" w:hAnsi="Avenir Next LT Pro;sans-serif"/>
          <w:color w:val="4D4D50"/>
          <w:sz w:val="23"/>
        </w:rPr>
        <w:t>that the Employee develops entirely on the Employee’s own time without using the Company’s equipment, supplies, facility, or Trade Secrets except for those inventions that (i) relate to the Company’s business or actual or demonstrably anticipated research or development, or (ii) result from any work performed by the Employee for the Company.</w:t>
      </w:r>
      <w:r>
        <w:rPr>
          <w:color w:val="4D4D50"/>
        </w:rPr>
        <w:t xml:space="preserve"> </w:t>
      </w:r>
      <w:r>
        <w:rPr>
          <w:rFonts w:ascii="Avenir Next LT Pro;sans-serif" w:hAnsi="Avenir Next LT Pro;sans-serif"/>
          <w:color w:val="4D4D50"/>
          <w:sz w:val="24"/>
        </w:rPr>
        <w:t>The Employee understands that, to the extent this Agreement shall be construed in accordance with the laws of any state which precludes a requirement in an employee agreement to assign certain classes of inventions made by an employee, this Section 3.B. shall be interpreted not to apply to any invention which a court rules and/or the Company agrees falls within such classes. The Employee also hereby waives all claims to moral rights in any Developments, even after termination of any work on behalf of the Company. For purposes of this Agreement, “moral rights” means any rights to claim authorship of a work, to object to or prevent the modification or destruction of a work, or to withdraw from circulation or control the publication or distribution of a work, and any similar right, existing under any applicable law of any jurisdiction, regardless of whether or not such right is denominated or generally referred to as a “moral right”.</w:t>
      </w:r>
    </w:p>
    <w:p>
      <w:pPr>
        <w:pStyle w:val="TextBody"/>
        <w:bidi w:val="0"/>
        <w:spacing w:before="240" w:after="240"/>
        <w:jc w:val="both"/>
        <w:rPr/>
      </w:pPr>
      <w:r>
        <w:rPr/>
        <w:t> </w:t>
      </w:r>
    </w:p>
    <w:p>
      <w:pPr>
        <w:pStyle w:val="TextBody"/>
        <w:bidi w:val="0"/>
        <w:spacing w:before="240" w:after="240"/>
        <w:jc w:val="both"/>
        <w:rPr>
          <w:rFonts w:ascii="Avenir Next LT Pro" w:hAnsi="Avenir Next LT Pro"/>
          <w:color w:val="000000"/>
          <w:sz w:val="24"/>
        </w:rPr>
      </w:pPr>
      <w:r>
        <w:rPr>
          <w:rFonts w:ascii="Avenir Next LT Pro" w:hAnsi="Avenir Next LT Pro"/>
          <w:color w:val="000000"/>
          <w:sz w:val="24"/>
        </w:rPr>
        <w:t>C.</w:t>
      </w:r>
    </w:p>
    <w:p>
      <w:pPr>
        <w:pStyle w:val="TextBody"/>
        <w:bidi w:val="0"/>
        <w:spacing w:before="240" w:after="240"/>
        <w:jc w:val="both"/>
        <w:rPr>
          <w:rFonts w:ascii="Avenir Next LT Pro;sans-serif" w:hAnsi="Avenir Next LT Pro;sans-serif"/>
          <w:color w:val="4D4D50"/>
          <w:sz w:val="24"/>
        </w:rPr>
      </w:pPr>
      <w:r>
        <w:rPr>
          <w:rFonts w:ascii="Avenir Next LT Pro;sans-serif" w:hAnsi="Avenir Next LT Pro;sans-serif"/>
          <w:color w:val="4D4D50"/>
          <w:sz w:val="24"/>
        </w:rPr>
        <w:t xml:space="preserve">The Employee agrees to cooperate fully with the Company, both during and after the Employee’s employment with the Company, with respect to the procurement, maintenance and enforcement of copyrights, patents and other intellectual property rights (both in the United States and foreign countries) relating to Developments. The Employee shall sign all papers, including, without limitation, copyright applications, patent applications, declarations, oaths, formal assignments, assignments of priority rights, and powers of attorney, which the Company may deem necessary or desirable in order to protect its rights and interests in any Development or to assign the Developments to the Company (or any person or entity designated by the Company). The Employee will not charge the Company for time spent in complying with these obligations. The Employee further agrees that if the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27</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pPr>
      <w:r>
        <w:rPr>
          <w:rFonts w:ascii="Avenir Next LT Pro;sans-serif" w:hAnsi="Avenir Next LT Pro;sans-serif"/>
          <w:color w:val="4D4D50"/>
          <w:sz w:val="24"/>
        </w:rPr>
        <w:t>Company is unable, after reasonable effort, to secure the signature of the Employee on any such papers, any executive officer of the Company shall be entitled to execute any such papers as the agent and the attorney-in-fact of the Employee, and the Employee hereby irrevocably designates and appoints each executive officer of the Company as the Employee’s agent and attorney-in-fact to execute any such papers on the Employee’s behalf, and to take any and all actions as the Company may deem necessary or desirable in order to protect its rights and interests in any Development, under the conditions described in this sentence.</w:t>
      </w:r>
      <w:r>
        <w:rPr>
          <w:color w:val="4D4D50"/>
        </w:rPr>
        <w:t xml:space="preserve"> </w:t>
      </w:r>
    </w:p>
    <w:p>
      <w:pPr>
        <w:pStyle w:val="TextBody"/>
        <w:bidi w:val="0"/>
        <w:spacing w:before="240" w:after="240"/>
        <w:jc w:val="both"/>
        <w:rPr/>
      </w:pPr>
      <w:r>
        <w:rPr/>
        <w:t> </w:t>
      </w:r>
    </w:p>
    <w:p>
      <w:pPr>
        <w:pStyle w:val="TextBody"/>
        <w:bidi w:val="0"/>
        <w:spacing w:before="240" w:after="240"/>
        <w:jc w:val="both"/>
        <w:rPr>
          <w:rFonts w:ascii="Avenir Next LT Pro" w:hAnsi="Avenir Next LT Pro"/>
          <w:b/>
          <w:color w:val="A5051D"/>
          <w:sz w:val="24"/>
        </w:rPr>
      </w:pPr>
      <w:r>
        <w:rPr>
          <w:rFonts w:ascii="Avenir Next LT Pro" w:hAnsi="Avenir Next LT Pro"/>
          <w:b/>
          <w:color w:val="A5051D"/>
          <w:sz w:val="24"/>
        </w:rPr>
        <w:t>4.</w:t>
      </w:r>
    </w:p>
    <w:p>
      <w:pPr>
        <w:pStyle w:val="TextBody"/>
        <w:bidi w:val="0"/>
        <w:spacing w:before="240" w:after="240"/>
        <w:jc w:val="both"/>
        <w:rPr>
          <w:rFonts w:ascii="Avenir Next LT Pro;sans-serif" w:hAnsi="Avenir Next LT Pro;sans-serif"/>
          <w:b/>
          <w:color w:val="A5051D"/>
          <w:sz w:val="24"/>
        </w:rPr>
      </w:pPr>
      <w:r>
        <w:rPr>
          <w:rFonts w:ascii="Avenir Next LT Pro;sans-serif" w:hAnsi="Avenir Next LT Pro;sans-serif"/>
          <w:b/>
          <w:color w:val="A5051D"/>
          <w:sz w:val="24"/>
        </w:rPr>
        <w:t>OBLIGATIONS TO THIRD PARTIES.</w:t>
      </w:r>
    </w:p>
    <w:p>
      <w:pPr>
        <w:pStyle w:val="TextBody"/>
        <w:bidi w:val="0"/>
        <w:spacing w:before="240" w:after="240"/>
        <w:jc w:val="both"/>
        <w:rPr>
          <w:rFonts w:ascii="Times New Roman" w:hAnsi="Times New Roman"/>
          <w:sz w:val="20"/>
        </w:rPr>
      </w:pPr>
      <w:r>
        <w:rPr>
          <w:rFonts w:ascii="Avenir Next LT Pro;sans-serif" w:hAnsi="Avenir Next LT Pro;sans-serif"/>
          <w:color w:val="4D4D50"/>
          <w:sz w:val="24"/>
        </w:rPr>
        <w:t xml:space="preserve">The Employee represents that, except as the Employee has disclosed in writing to the Company on </w:t>
      </w:r>
      <w:r>
        <w:rPr>
          <w:rFonts w:ascii="Avenir Next LT Pro;sans-serif" w:hAnsi="Avenir Next LT Pro;sans-serif"/>
          <w:b/>
          <w:color w:val="4D4D50"/>
          <w:sz w:val="24"/>
        </w:rPr>
        <w:t>Appendix 1</w:t>
      </w:r>
      <w:r>
        <w:rPr>
          <w:rFonts w:ascii="Times New Roman" w:hAnsi="Times New Roman"/>
          <w:color w:val="4D4D50"/>
          <w:sz w:val="20"/>
        </w:rPr>
        <w:t xml:space="preserve"> </w:t>
      </w:r>
      <w:r>
        <w:rPr>
          <w:rFonts w:ascii="Avenir Next LT Pro;sans-serif" w:hAnsi="Avenir Next LT Pro;sans-serif"/>
          <w:color w:val="4D4D50"/>
          <w:sz w:val="24"/>
        </w:rPr>
        <w:t>attached hereto, the Employee is not bound by the terms of any agreement with any previous employer or other party or any court order to refrain from using or disclosing any Trade Secret or Confidential Information in the course of the Employee’s employment with the Company, to refrain from competing, directly or indirectly, with the business of such previous employer or any other party or to refrain from soliciting employees, customers or suppliers of such previous employer or other party. The Employee further represents that the Employee’s performance of all the terms of this Agreement and the performance of the Employee’s duties as an employee of the Company do not and will not conflict with or breach any agreement with any prior employer or other party (including, without limitation, any nondisclosure or non-competition agreement) or any court order, and that the Employee will not disclose to the Company or any of its affiliates or induce the Company or any of its affiliates to use any confidential or proprietary information or material belonging to any previous employer or others.</w:t>
      </w:r>
    </w:p>
    <w:p>
      <w:pPr>
        <w:pStyle w:val="TextBody"/>
        <w:bidi w:val="0"/>
        <w:spacing w:before="240" w:after="240"/>
        <w:jc w:val="both"/>
        <w:rPr>
          <w:rFonts w:ascii="Avenir Next LT Pro" w:hAnsi="Avenir Next LT Pro"/>
          <w:b/>
          <w:color w:val="A5051D"/>
          <w:sz w:val="24"/>
        </w:rPr>
      </w:pPr>
      <w:r>
        <w:rPr>
          <w:rFonts w:ascii="Avenir Next LT Pro" w:hAnsi="Avenir Next LT Pro"/>
          <w:b/>
          <w:color w:val="A5051D"/>
          <w:sz w:val="24"/>
        </w:rPr>
        <w:t>5.</w:t>
      </w:r>
    </w:p>
    <w:p>
      <w:pPr>
        <w:pStyle w:val="TextBody"/>
        <w:bidi w:val="0"/>
        <w:spacing w:before="240" w:after="240"/>
        <w:jc w:val="both"/>
        <w:rPr>
          <w:rFonts w:ascii="Avenir Next LT Pro;sans-serif" w:hAnsi="Avenir Next LT Pro;sans-serif"/>
          <w:b/>
          <w:color w:val="A5051D"/>
          <w:sz w:val="24"/>
        </w:rPr>
      </w:pPr>
      <w:r>
        <w:rPr>
          <w:rFonts w:ascii="Avenir Next LT Pro;sans-serif" w:hAnsi="Avenir Next LT Pro;sans-serif"/>
          <w:b/>
          <w:color w:val="A5051D"/>
          <w:sz w:val="24"/>
        </w:rPr>
        <w:t>SCOPE OF DISCLOSURE RESTRICTIONS.</w:t>
      </w:r>
    </w:p>
    <w:p>
      <w:pPr>
        <w:pStyle w:val="TextBody"/>
        <w:bidi w:val="0"/>
        <w:spacing w:before="240" w:after="240"/>
        <w:jc w:val="both"/>
        <w:rPr>
          <w:rFonts w:ascii="Times New Roman" w:hAnsi="Times New Roman"/>
          <w:sz w:val="20"/>
        </w:rPr>
      </w:pPr>
      <w:r>
        <w:rPr>
          <w:rFonts w:ascii="Avenir Next LT Pro;sans-serif" w:hAnsi="Avenir Next LT Pro;sans-serif"/>
          <w:color w:val="4D4D50"/>
          <w:sz w:val="24"/>
        </w:rPr>
        <w:t>Nothing in this Agreement prohibits the Employee from communicating with government agencies about possible violations of federal, state, or local laws or otherwise providing information to government agencies, filing a complaint with government agencies, or participating in government agency investigations or proceedings. The Employee is not required to notify the Company of any such communications. Further, notwithstanding the Employee’s confidentiality and nondisclosure obligations, the Employee is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w:t>
      </w:r>
      <w:r>
        <w:rPr>
          <w:rFonts w:ascii="Times New Roman" w:hAnsi="Times New Roman"/>
          <w:color w:val="4D4D5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28</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Avenir Next LT Pro;sans-serif" w:hAnsi="Avenir Next LT Pro;sans-serif"/>
          <w:color w:val="4D4D50"/>
          <w:sz w:val="24"/>
        </w:rPr>
        <w:t>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Notwithstanding the foregoing immunity from liability, the Employee understands that the Employee may be held liable if the Employee unlawfully accesses trade secrets by unauthorized means. Nothing in this Agreement shall be construed to preclude the Employee from discussing the Employee’s compensation with others, or from discussing the compensation of other employees to the extent such compensation information was voluntarily disclosed to Employee by the individual in question.</w:t>
      </w:r>
      <w:r>
        <w:rPr>
          <w:rFonts w:ascii="Times New Roman" w:hAnsi="Times New Roman"/>
          <w:color w:val="4D4D50"/>
          <w:sz w:val="20"/>
        </w:rPr>
        <w:t xml:space="preserve"> </w:t>
      </w:r>
    </w:p>
    <w:p>
      <w:pPr>
        <w:pStyle w:val="TextBody"/>
        <w:bidi w:val="0"/>
        <w:spacing w:before="240" w:after="240"/>
        <w:jc w:val="both"/>
        <w:rPr>
          <w:rFonts w:ascii="Avenir Next LT Pro" w:hAnsi="Avenir Next LT Pro"/>
          <w:b/>
          <w:color w:val="A5051D"/>
          <w:sz w:val="24"/>
        </w:rPr>
      </w:pPr>
      <w:r>
        <w:rPr>
          <w:rFonts w:ascii="Avenir Next LT Pro" w:hAnsi="Avenir Next LT Pro"/>
          <w:b/>
          <w:color w:val="A5051D"/>
          <w:sz w:val="24"/>
        </w:rPr>
        <w:t>6.</w:t>
      </w:r>
    </w:p>
    <w:p>
      <w:pPr>
        <w:pStyle w:val="TextBody"/>
        <w:bidi w:val="0"/>
        <w:spacing w:before="240" w:after="240"/>
        <w:jc w:val="both"/>
        <w:rPr>
          <w:rFonts w:ascii="Avenir Next LT Pro;sans-serif" w:hAnsi="Avenir Next LT Pro;sans-serif"/>
          <w:b/>
          <w:color w:val="A5051D"/>
          <w:sz w:val="24"/>
        </w:rPr>
      </w:pPr>
      <w:r>
        <w:rPr>
          <w:rFonts w:ascii="Avenir Next LT Pro;sans-serif" w:hAnsi="Avenir Next LT Pro;sans-serif"/>
          <w:b/>
          <w:color w:val="A5051D"/>
          <w:sz w:val="24"/>
        </w:rPr>
        <w:t>UNITED STATES GOVERNMENT OBLIGATIONS.</w:t>
      </w:r>
    </w:p>
    <w:p>
      <w:pPr>
        <w:pStyle w:val="TextBody"/>
        <w:bidi w:val="0"/>
        <w:spacing w:before="240" w:after="240"/>
        <w:jc w:val="both"/>
        <w:rPr>
          <w:rFonts w:ascii="Avenir Next LT Pro;sans-serif" w:hAnsi="Avenir Next LT Pro;sans-serif"/>
          <w:color w:val="4D4D50"/>
          <w:sz w:val="24"/>
        </w:rPr>
      </w:pPr>
      <w:r>
        <w:rPr>
          <w:rFonts w:ascii="Avenir Next LT Pro;sans-serif" w:hAnsi="Avenir Next LT Pro;sans-serif"/>
          <w:color w:val="4D4D50"/>
          <w:sz w:val="24"/>
        </w:rPr>
        <w:t>The Employee acknowledges that the Company and its affiliates from time to time may have agreements with other persons or with the United States Government, or agencies thereof, which impose obligations or restrictions on the Company and its affiliates regarding inventions made during the course of work under such agreements or regarding the confidential nature of such work. The Employee agrees to be bound by all such obligations and restrictions which are made known to the Employee and to take all action necessary to discharge the obligations of the Company and its affiliates under such agreements.</w:t>
      </w:r>
    </w:p>
    <w:p>
      <w:pPr>
        <w:pStyle w:val="TextBody"/>
        <w:bidi w:val="0"/>
        <w:spacing w:before="240" w:after="240"/>
        <w:jc w:val="both"/>
        <w:rPr>
          <w:rFonts w:ascii="Avenir Next LT Pro" w:hAnsi="Avenir Next LT Pro"/>
          <w:b/>
          <w:color w:val="A5051D"/>
          <w:sz w:val="24"/>
        </w:rPr>
      </w:pPr>
      <w:r>
        <w:rPr>
          <w:rFonts w:ascii="Avenir Next LT Pro" w:hAnsi="Avenir Next LT Pro"/>
          <w:b/>
          <w:color w:val="A5051D"/>
          <w:sz w:val="24"/>
        </w:rPr>
        <w:t>7.</w:t>
      </w:r>
    </w:p>
    <w:p>
      <w:pPr>
        <w:pStyle w:val="TextBody"/>
        <w:bidi w:val="0"/>
        <w:spacing w:before="240" w:after="240"/>
        <w:jc w:val="both"/>
        <w:rPr>
          <w:rFonts w:ascii="Avenir Next LT Pro;sans-serif" w:hAnsi="Avenir Next LT Pro;sans-serif"/>
          <w:b/>
          <w:color w:val="A5051D"/>
          <w:sz w:val="24"/>
        </w:rPr>
      </w:pPr>
      <w:r>
        <w:rPr>
          <w:rFonts w:ascii="Avenir Next LT Pro;sans-serif" w:hAnsi="Avenir Next LT Pro;sans-serif"/>
          <w:b/>
          <w:color w:val="A5051D"/>
          <w:sz w:val="24"/>
        </w:rPr>
        <w:t xml:space="preserve">NON-SOLICITATION. </w:t>
      </w:r>
    </w:p>
    <w:p>
      <w:pPr>
        <w:pStyle w:val="TextBody"/>
        <w:bidi w:val="0"/>
        <w:spacing w:before="240" w:after="240"/>
        <w:jc w:val="both"/>
        <w:rPr/>
      </w:pPr>
      <w:r>
        <w:rPr/>
        <w:t> </w:t>
      </w:r>
    </w:p>
    <w:p>
      <w:pPr>
        <w:pStyle w:val="TextBody"/>
        <w:bidi w:val="0"/>
        <w:spacing w:before="240" w:after="240"/>
        <w:jc w:val="both"/>
        <w:rPr>
          <w:rFonts w:ascii="Avenir Next LT Pro" w:hAnsi="Avenir Next LT Pro"/>
          <w:color w:val="000000"/>
          <w:sz w:val="24"/>
        </w:rPr>
      </w:pPr>
      <w:r>
        <w:rPr>
          <w:rFonts w:ascii="Avenir Next LT Pro" w:hAnsi="Avenir Next LT Pro"/>
          <w:color w:val="000000"/>
          <w:sz w:val="24"/>
        </w:rPr>
        <w:t>A.</w:t>
      </w:r>
    </w:p>
    <w:p>
      <w:pPr>
        <w:pStyle w:val="TextBody"/>
        <w:bidi w:val="0"/>
        <w:spacing w:before="240" w:after="240"/>
        <w:jc w:val="both"/>
        <w:rPr/>
      </w:pPr>
      <w:r>
        <w:rPr>
          <w:rFonts w:ascii="Avenir Next LT Pro;sans-serif" w:hAnsi="Avenir Next LT Pro;sans-serif"/>
          <w:b/>
          <w:color w:val="4D4D50"/>
          <w:sz w:val="23"/>
          <w:u w:val="single"/>
        </w:rPr>
        <w:t>Non-Solicitation of Business Partner:</w:t>
      </w:r>
      <w:r>
        <w:rPr>
          <w:color w:val="4D4D50"/>
        </w:rPr>
        <w:t xml:space="preserve"> </w:t>
      </w:r>
      <w:r>
        <w:rPr>
          <w:rFonts w:ascii="Avenir Next LT Pro;sans-serif" w:hAnsi="Avenir Next LT Pro;sans-serif"/>
          <w:color w:val="4D4D50"/>
          <w:sz w:val="24"/>
        </w:rPr>
        <w:t xml:space="preserve">While the Employee is employed by the Company and for a period of one (1) year after the cessation of such employment for any reason (the “Non-Solicitation Period”), the Employee will not, directly or indirectly, </w:t>
      </w:r>
      <w:r>
        <w:rPr>
          <w:rFonts w:ascii="Avenir Next LT Pro;sans-serif" w:hAnsi="Avenir Next LT Pro;sans-serif"/>
          <w:color w:val="4D4D50"/>
          <w:sz w:val="23"/>
        </w:rPr>
        <w:t>either</w:t>
      </w:r>
      <w:r>
        <w:rPr>
          <w:color w:val="4D4D50"/>
        </w:rPr>
        <w:t xml:space="preserve"> </w:t>
      </w:r>
      <w:r>
        <w:rPr>
          <w:rFonts w:ascii="Avenir Next LT Pro;sans-serif" w:hAnsi="Avenir Next LT Pro;sans-serif"/>
          <w:color w:val="4D4D50"/>
          <w:sz w:val="24"/>
        </w:rPr>
        <w:t xml:space="preserve">alone or in association with others: (a) solicit or encourage, or attempt to solicit or encourage, any Business Partner of the Company or any of its affiliates, with whom Employee had Material Contact, to terminate or diminish its relationship with the Company or any of its affiliates; or, (b) seek to persuade any Business Partner or prospective Business Partner of the Company or any of its affiliates, with whom Employee had Material Contact, to conduct with anyone else any business or activity which such Business Partner conducts or could conduct, or such prospective Business Partner could conduct, with the Company or any of its affiliates. “Business Partner” shall mean the clients, customers, accounts, vendors, suppliers or other business partners whom are or have been associated with the Company or any of its affiliates at any time within the last two (2) years of the Employee’s employment with the Company or whose business has been solicited on behalf of the Company or any of its affiliates by any of its officers, employees or agents within the last two (2) years of the Employee’s employment with the Company (excluding solicitation by form letter, blanket mailing or published advertisement). For the purpose of this Section 7, “Material Contact” shall mean contact, in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29</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pPr>
      <w:r>
        <w:rPr>
          <w:rFonts w:ascii="Avenir Next LT Pro;sans-serif" w:hAnsi="Avenir Next LT Pro;sans-serif"/>
          <w:color w:val="4D4D50"/>
          <w:sz w:val="24"/>
        </w:rPr>
        <w:t>the last two (2) years of the Employee’s employment with the Company, between the Employee and any Business Partners: (a) about whom or which the Employee dealt on Company’s or any of its affiliates’ behalf; (b) whose dealings with the Company or any of its affiliates were coordinated or supervised by Employee; (c) about whom the Employee obtained Confidential Information in the ordinary course of business as a result of Employee’s association with the Company; or, (d) who receives or received products or services authorized by the Company or any of its affiliates, the sale or provision of which results/resulted in compensation, commissions, or earnings for the Employee.</w:t>
      </w:r>
      <w:r>
        <w:rPr>
          <w:color w:val="4D4D50"/>
        </w:rPr>
        <w:t xml:space="preserve"> </w:t>
      </w:r>
    </w:p>
    <w:p>
      <w:pPr>
        <w:pStyle w:val="TextBody"/>
        <w:bidi w:val="0"/>
        <w:spacing w:before="240" w:after="240"/>
        <w:jc w:val="both"/>
        <w:rPr/>
      </w:pPr>
      <w:r>
        <w:rPr/>
        <w:t> </w:t>
      </w:r>
    </w:p>
    <w:p>
      <w:pPr>
        <w:pStyle w:val="TextBody"/>
        <w:bidi w:val="0"/>
        <w:spacing w:before="240" w:after="240"/>
        <w:jc w:val="both"/>
        <w:rPr>
          <w:rFonts w:ascii="Avenir Next LT Pro" w:hAnsi="Avenir Next LT Pro"/>
          <w:color w:val="000000"/>
          <w:sz w:val="24"/>
        </w:rPr>
      </w:pPr>
      <w:r>
        <w:rPr>
          <w:rFonts w:ascii="Avenir Next LT Pro" w:hAnsi="Avenir Next LT Pro"/>
          <w:color w:val="000000"/>
          <w:sz w:val="24"/>
        </w:rPr>
        <w:t>B.</w:t>
      </w:r>
    </w:p>
    <w:p>
      <w:pPr>
        <w:pStyle w:val="TextBody"/>
        <w:bidi w:val="0"/>
        <w:spacing w:before="240" w:after="240"/>
        <w:jc w:val="both"/>
        <w:rPr/>
      </w:pPr>
      <w:r>
        <w:rPr>
          <w:rFonts w:ascii="Avenir Next LT Pro;sans-serif" w:hAnsi="Avenir Next LT Pro;sans-serif"/>
          <w:b/>
          <w:color w:val="4D4D50"/>
          <w:sz w:val="23"/>
          <w:u w:val="single"/>
        </w:rPr>
        <w:t>Non-Solicitation of Employees:</w:t>
      </w:r>
      <w:r>
        <w:rPr>
          <w:color w:val="4D4D50"/>
        </w:rPr>
        <w:t xml:space="preserve"> </w:t>
      </w:r>
      <w:r>
        <w:rPr>
          <w:rFonts w:ascii="Avenir Next LT Pro;sans-serif" w:hAnsi="Avenir Next LT Pro;sans-serif"/>
          <w:color w:val="4D4D50"/>
          <w:sz w:val="23"/>
        </w:rPr>
        <w:t>During the Non-Solicitation Period, the Employee will not, directly or indirectly, either alone or in association with others: (i) solicit, induce or attempt to solicit or induce, any Protected Employee or Independent Contractor of the Company or any of its affiliates to terminate his or her employment or other engagement with the Company or any of its affiliates; or, (ii) hire or recruit, or attempt to hire or recruit, or engage or attempt to engage as an employee or independent contractor, any Protected Employee or Independent Contractor. “Protected Employee or Independent Contractor” shall mean any employee or independent contractor of the Company or any of its affiliates that the Employee during the last two (2) years of the Employee’s employment with the Company: (a) had work-related contact; or, (b) about whom the Employee obtained Confidential Information. This Section 7.B. shall not apply to the recruitment or hiring or other engagement of any Protected Employee or Independent Contractor whose employment or other engagement with the Company or any of its affiliate has been terminated for a period of six months or longer.</w:t>
      </w:r>
    </w:p>
    <w:p>
      <w:pPr>
        <w:pStyle w:val="TextBody"/>
        <w:bidi w:val="0"/>
        <w:spacing w:before="240" w:after="240"/>
        <w:jc w:val="both"/>
        <w:rPr/>
      </w:pPr>
      <w:r>
        <w:rPr/>
        <w:t> </w:t>
      </w:r>
    </w:p>
    <w:p>
      <w:pPr>
        <w:pStyle w:val="TextBody"/>
        <w:bidi w:val="0"/>
        <w:spacing w:before="240" w:after="240"/>
        <w:jc w:val="both"/>
        <w:rPr>
          <w:rFonts w:ascii="Avenir Next LT Pro" w:hAnsi="Avenir Next LT Pro"/>
          <w:color w:val="000000"/>
          <w:sz w:val="24"/>
        </w:rPr>
      </w:pPr>
      <w:r>
        <w:rPr>
          <w:rFonts w:ascii="Avenir Next LT Pro" w:hAnsi="Avenir Next LT Pro"/>
          <w:color w:val="000000"/>
          <w:sz w:val="24"/>
        </w:rPr>
        <w:t>C.</w:t>
      </w:r>
    </w:p>
    <w:p>
      <w:pPr>
        <w:pStyle w:val="TextBody"/>
        <w:bidi w:val="0"/>
        <w:spacing w:before="240" w:after="240"/>
        <w:jc w:val="both"/>
        <w:rPr>
          <w:rFonts w:ascii="Avenir Next LT Pro;sans-serif" w:hAnsi="Avenir Next LT Pro;sans-serif"/>
          <w:color w:val="4D4D50"/>
          <w:sz w:val="24"/>
        </w:rPr>
      </w:pPr>
      <w:r>
        <w:rPr>
          <w:rFonts w:ascii="Avenir Next LT Pro;sans-serif" w:hAnsi="Avenir Next LT Pro;sans-serif"/>
          <w:color w:val="4D4D50"/>
          <w:sz w:val="24"/>
        </w:rPr>
        <w:t>The Employee agrees that, during the Non-Solicitation Period, the Employee will give notice to the Company of each new business activity, outside of the ordinary course of their employment with the Company, that the Employee plans to undertake, at least ten (10) business days prior to beginning any such activity. The notice shall state the name and address of the individual, corporation, association or other entity or organization (“Entity”) for whom such activity is undertaken and the name of the Employee’s business relationship or position with the entity. The Employee further agrees to provide the Company with other pertinent information concerning such business activity as the Company may reasonably request in order to determine the Employee’s continued compliance with his obligations under this Agreement. During the Non-Solicitation Period, the Employee agrees to provide a copy of this Agreement to all persons and Entities with whom the Employee seeks to be hired or do business before accepting employment or engagement with any of them.</w:t>
      </w:r>
    </w:p>
    <w:p>
      <w:pPr>
        <w:pStyle w:val="TextBody"/>
        <w:bidi w:val="0"/>
        <w:spacing w:before="240" w:after="240"/>
        <w:jc w:val="both"/>
        <w:rPr/>
      </w:pPr>
      <w:r>
        <w:rPr/>
        <w:t> </w:t>
      </w:r>
    </w:p>
    <w:p>
      <w:pPr>
        <w:pStyle w:val="TextBody"/>
        <w:bidi w:val="0"/>
        <w:spacing w:before="240" w:after="240"/>
        <w:jc w:val="both"/>
        <w:rPr/>
      </w:pPr>
      <w:r>
        <w:rPr/>
        <w:t> </w:t>
      </w:r>
    </w:p>
    <w:p>
      <w:pPr>
        <w:pStyle w:val="TextBody"/>
        <w:bidi w:val="0"/>
        <w:spacing w:before="240" w:after="240"/>
        <w:jc w:val="both"/>
        <w:rPr/>
      </w:pPr>
      <w:r>
        <w:rPr/>
        <w:t>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30</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pPr>
      <w:r>
        <w:rPr/>
        <w:t> </w:t>
      </w:r>
    </w:p>
    <w:p>
      <w:pPr>
        <w:pStyle w:val="TextBody"/>
        <w:bidi w:val="0"/>
        <w:spacing w:before="240" w:after="240"/>
        <w:jc w:val="both"/>
        <w:rPr>
          <w:rFonts w:ascii="Avenir Next LT Pro" w:hAnsi="Avenir Next LT Pro"/>
          <w:b/>
          <w:color w:val="A5051D"/>
          <w:sz w:val="24"/>
        </w:rPr>
      </w:pPr>
      <w:r>
        <w:rPr>
          <w:rFonts w:ascii="Avenir Next LT Pro" w:hAnsi="Avenir Next LT Pro"/>
          <w:b/>
          <w:color w:val="A5051D"/>
          <w:sz w:val="24"/>
        </w:rPr>
        <w:t>8.</w:t>
      </w:r>
    </w:p>
    <w:p>
      <w:pPr>
        <w:pStyle w:val="TextBody"/>
        <w:bidi w:val="0"/>
        <w:spacing w:before="240" w:after="240"/>
        <w:jc w:val="both"/>
        <w:rPr>
          <w:rFonts w:ascii="Avenir Next LT Pro;sans-serif" w:hAnsi="Avenir Next LT Pro;sans-serif"/>
          <w:b/>
          <w:color w:val="A5051D"/>
          <w:sz w:val="24"/>
        </w:rPr>
      </w:pPr>
      <w:r>
        <w:rPr>
          <w:rFonts w:ascii="Avenir Next LT Pro;sans-serif" w:hAnsi="Avenir Next LT Pro;sans-serif"/>
          <w:b/>
          <w:color w:val="A5051D"/>
          <w:sz w:val="24"/>
        </w:rPr>
        <w:t xml:space="preserve">NON-COMPETITION. </w:t>
      </w:r>
    </w:p>
    <w:p>
      <w:pPr>
        <w:pStyle w:val="TextBody"/>
        <w:bidi w:val="0"/>
        <w:spacing w:before="240" w:after="240"/>
        <w:jc w:val="both"/>
        <w:rPr>
          <w:rFonts w:ascii="Avenir Next LT Pro" w:hAnsi="Avenir Next LT Pro"/>
          <w:color w:val="000000"/>
          <w:sz w:val="24"/>
        </w:rPr>
      </w:pPr>
      <w:r>
        <w:rPr>
          <w:rFonts w:ascii="Avenir Next LT Pro" w:hAnsi="Avenir Next LT Pro"/>
          <w:color w:val="000000"/>
          <w:sz w:val="24"/>
        </w:rPr>
        <w:t>A.</w:t>
      </w:r>
    </w:p>
    <w:p>
      <w:pPr>
        <w:pStyle w:val="TextBody"/>
        <w:bidi w:val="0"/>
        <w:spacing w:before="240" w:after="240"/>
        <w:jc w:val="both"/>
        <w:rPr/>
      </w:pPr>
      <w:r>
        <w:rPr>
          <w:rFonts w:ascii="Avenir Next LT Pro;sans-serif" w:hAnsi="Avenir Next LT Pro;sans-serif"/>
          <w:color w:val="4D4D50"/>
          <w:sz w:val="24"/>
        </w:rPr>
        <w:t>While the Employee is employed by the Company and for a period of one (1) year after the cessation of such employment for any reason other than termination by the Company without “Cause” or due to layoff (the “Non-Competition Period”), the Employee will not, directly or indirectly, engage or assist others in engaging (whether as owner, partner, officer, director, employee, consultant, investor, lender or otherwise), except as the passive holder of not more than 5% of the outstanding stock of a publicly-held company, in any Restricted Capacity, to a Competitive Business in the Restricted Territory. For the purposes of this Section 8, (i) “</w:t>
      </w:r>
      <w:r>
        <w:rPr>
          <w:rFonts w:ascii="Avenir Next LT Pro;sans-serif" w:hAnsi="Avenir Next LT Pro;sans-serif"/>
          <w:color w:val="4D4D50"/>
          <w:sz w:val="24"/>
          <w:u w:val="single"/>
        </w:rPr>
        <w:t>Competitive Business</w:t>
      </w:r>
      <w:r>
        <w:rPr>
          <w:color w:val="4D4D50"/>
        </w:rPr>
        <w:t xml:space="preserve">” </w:t>
      </w:r>
      <w:r>
        <w:rPr>
          <w:rFonts w:ascii="Avenir Next LT Pro;sans-serif" w:hAnsi="Avenir Next LT Pro;sans-serif"/>
          <w:color w:val="4D4D50"/>
          <w:sz w:val="24"/>
        </w:rPr>
        <w:t>means any business or enterprise competitive with the Company’s or any of its affiliates’ business, including, but not limited to, any business or enterprise that develops, manufactures, markets, licenses, sells or provides any product or service that competes with any product or service developed, manufactured, marketed, licensed, sold or provided, or actively planned to be developed, manufactured, marketed, licensed, sold or provided, by the Company or any of its affiliates at any time during the Employee’s employment with the Company or, with respect to the portion of the Non-Competition Period that follows cessation of the Employee’s employment, as of such cessation; (ii) “</w:t>
      </w:r>
      <w:r>
        <w:rPr>
          <w:rFonts w:ascii="Avenir Next LT Pro;sans-serif" w:hAnsi="Avenir Next LT Pro;sans-serif"/>
          <w:color w:val="4D4D50"/>
          <w:sz w:val="24"/>
          <w:u w:val="single"/>
        </w:rPr>
        <w:t>Cause</w:t>
      </w:r>
      <w:r>
        <w:rPr>
          <w:color w:val="4D4D50"/>
        </w:rPr>
        <w:t xml:space="preserve">” </w:t>
      </w:r>
      <w:r>
        <w:rPr>
          <w:rFonts w:ascii="Avenir Next LT Pro;sans-serif" w:hAnsi="Avenir Next LT Pro;sans-serif"/>
          <w:color w:val="4D4D50"/>
          <w:sz w:val="24"/>
        </w:rPr>
        <w:t xml:space="preserve">means (solely with respect to this Agreement and notwithstanding any other agreement between the Company and the Employee containing this defined term) the occurrence of any of the following, as determined by the Company’s Board of Directors in its reasonable discretion: (1) the Employee’s failure to perform their duties and responsibilities to the Company or its affiliates, or the performance of their duties and responsibilities to the Company or its affiliates in a manner deemed by the Company to be in any way unsatisfactory; (2) the Employee’s breach of this Agreement or any other agreement between the Employee and the Company or any of its affiliates; (3) the Employee’s commission of, or plea of nolo contendere to, a felony or other crime; (4) any misconduct by the Employee or other conduct by the Employee that is or could reasonably be expected to be harmful to the business interests or reputation of the Company or any of its affiliates; (5) the Employee’s violation or disregard for any rule or procedure or policy of the Company or any of its affiliates; (6) any other reasonable basis for Company dissatisfaction with the Employee, including for reasons such as lack of capacity or diligence, failure to conform to usual standards of conduct, or other culpable or inappropriate behavior; or (7) </w:t>
      </w:r>
      <w:r>
        <w:rPr>
          <w:rFonts w:ascii="Avenir Next LT Pro;sans-serif" w:hAnsi="Avenir Next LT Pro;sans-serif"/>
          <w:color w:val="000000"/>
          <w:sz w:val="24"/>
        </w:rPr>
        <w:t>any other grounds for discharge that are reasonably related, in the Company’s good faith judgment, to the needs of the business of the Company or any of its affiliates</w:t>
      </w:r>
      <w:r>
        <w:rPr>
          <w:rFonts w:ascii="Avenir Next LT Pro;sans-serif" w:hAnsi="Avenir Next LT Pro;sans-serif"/>
          <w:color w:val="4D4D50"/>
          <w:sz w:val="24"/>
        </w:rPr>
        <w:t>; (iii) “</w:t>
      </w:r>
      <w:r>
        <w:rPr>
          <w:rFonts w:ascii="Avenir Next LT Pro;sans-serif" w:hAnsi="Avenir Next LT Pro;sans-serif"/>
          <w:color w:val="4D4D50"/>
          <w:sz w:val="24"/>
          <w:u w:val="single"/>
        </w:rPr>
        <w:t>Restricted Capacity</w:t>
      </w:r>
      <w:r>
        <w:rPr>
          <w:color w:val="4D4D50"/>
        </w:rPr>
        <w:t xml:space="preserve">” </w:t>
      </w:r>
      <w:r>
        <w:rPr>
          <w:rFonts w:ascii="Avenir Next LT Pro;sans-serif" w:hAnsi="Avenir Next LT Pro;sans-serif"/>
          <w:color w:val="4D4D50"/>
          <w:sz w:val="24"/>
        </w:rPr>
        <w:t xml:space="preserve">means (A) any capacity during the Employee’s employment or (B) with respect to the portion of the Non-Competition Period that follows termination of the Employee’s employment, any capacity to the extent involving any of the types of services that the Employee provided to the Company or any of its affiliates within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31</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rFonts w:ascii="Avenir Next LT Pro;sans-serif" w:hAnsi="Avenir Next LT Pro;sans-serif"/>
          <w:color w:val="4D4D50"/>
          <w:sz w:val="24"/>
        </w:rPr>
      </w:pPr>
      <w:r>
        <w:rPr>
          <w:rFonts w:ascii="Avenir Next LT Pro;sans-serif" w:hAnsi="Avenir Next LT Pro;sans-serif"/>
          <w:color w:val="4D4D50"/>
          <w:sz w:val="24"/>
        </w:rPr>
        <w:t>the last two (2) years of the Employee’s employment with the Company; and (iv) “Restricted Territory”, means the geographical area in which: (A) with respect to the period of the Employee’s employment, the Company or any of its affiliates does business or is actively planning to do business; or, (B) with respect to the portion of the Non-Competition Period following termination of the Employee’s employment, the Employee, at any time within the last two (2) years of the Employee’s employment with the Company, provided services or had a material presence or influence on behalf of the Company or any of its affiliates.</w:t>
      </w:r>
    </w:p>
    <w:p>
      <w:pPr>
        <w:pStyle w:val="TextBody"/>
        <w:bidi w:val="0"/>
        <w:spacing w:before="240" w:after="240"/>
        <w:jc w:val="both"/>
        <w:rPr/>
      </w:pPr>
      <w:r>
        <w:rPr/>
        <w:t> </w:t>
      </w:r>
    </w:p>
    <w:p>
      <w:pPr>
        <w:pStyle w:val="TextBody"/>
        <w:bidi w:val="0"/>
        <w:spacing w:before="240" w:after="240"/>
        <w:jc w:val="both"/>
        <w:rPr>
          <w:rFonts w:ascii="Avenir Next LT Pro" w:hAnsi="Avenir Next LT Pro"/>
          <w:color w:val="000000"/>
          <w:sz w:val="24"/>
        </w:rPr>
      </w:pPr>
      <w:r>
        <w:rPr>
          <w:rFonts w:ascii="Avenir Next LT Pro" w:hAnsi="Avenir Next LT Pro"/>
          <w:color w:val="000000"/>
          <w:sz w:val="24"/>
        </w:rPr>
        <w:t>B.</w:t>
      </w:r>
    </w:p>
    <w:p>
      <w:pPr>
        <w:pStyle w:val="TextBody"/>
        <w:bidi w:val="0"/>
        <w:spacing w:before="240" w:after="240"/>
        <w:jc w:val="both"/>
        <w:rPr>
          <w:rFonts w:ascii="Avenir Next LT Pro;sans-serif" w:hAnsi="Avenir Next LT Pro;sans-serif"/>
          <w:color w:val="4D4D50"/>
          <w:sz w:val="24"/>
        </w:rPr>
      </w:pPr>
      <w:r>
        <w:rPr>
          <w:rFonts w:ascii="Avenir Next LT Pro;sans-serif" w:hAnsi="Avenir Next LT Pro;sans-serif"/>
          <w:color w:val="4D4D50"/>
          <w:sz w:val="24"/>
        </w:rPr>
        <w:t>The Employee agrees that during the Non-Competition Period, the Employee will give notice to the Company of each new business activity the Employee plans to undertake, at least ten (10) business days prior to beginning any such activity. The notice shall state the name and address of the individual, corporation, association or other entity or organization (“Entity”) for whom such activity is to be undertaken and the Employee’s business relationship or position with the entity. The Employee further agrees to provide the Company with other pertinent information concerning such business activity as the Company may reasonably request in order to determine the Employee’s continued compliance with his obligations under this Agreement. During the Non-Competition Period, the Employee agrees to provide a copy of this Agreement to all persons and Entities with whom the Employee seeks to be hired or do business before accepting employment or engagement with any of them.</w:t>
      </w:r>
    </w:p>
    <w:p>
      <w:pPr>
        <w:pStyle w:val="TextBody"/>
        <w:bidi w:val="0"/>
        <w:spacing w:before="240" w:after="240"/>
        <w:jc w:val="both"/>
        <w:rPr/>
      </w:pPr>
      <w:r>
        <w:rPr/>
        <w:t> </w:t>
      </w:r>
    </w:p>
    <w:p>
      <w:pPr>
        <w:pStyle w:val="TextBody"/>
        <w:bidi w:val="0"/>
        <w:spacing w:before="240" w:after="240"/>
        <w:jc w:val="both"/>
        <w:rPr>
          <w:rFonts w:ascii="Avenir Next LT Pro" w:hAnsi="Avenir Next LT Pro"/>
          <w:b/>
          <w:color w:val="A5051D"/>
          <w:sz w:val="24"/>
        </w:rPr>
      </w:pPr>
      <w:r>
        <w:rPr>
          <w:rFonts w:ascii="Avenir Next LT Pro" w:hAnsi="Avenir Next LT Pro"/>
          <w:b/>
          <w:color w:val="A5051D"/>
          <w:sz w:val="24"/>
        </w:rPr>
        <w:t>9.</w:t>
      </w:r>
    </w:p>
    <w:p>
      <w:pPr>
        <w:pStyle w:val="TextBody"/>
        <w:bidi w:val="0"/>
        <w:spacing w:before="240" w:after="240"/>
        <w:jc w:val="both"/>
        <w:rPr>
          <w:rFonts w:ascii="Avenir Next LT Pro;sans-serif" w:hAnsi="Avenir Next LT Pro;sans-serif"/>
          <w:b/>
          <w:color w:val="A5051D"/>
          <w:sz w:val="24"/>
        </w:rPr>
      </w:pPr>
      <w:r>
        <w:rPr>
          <w:rFonts w:ascii="Avenir Next LT Pro;sans-serif" w:hAnsi="Avenir Next LT Pro;sans-serif"/>
          <w:b/>
          <w:color w:val="A5051D"/>
          <w:sz w:val="24"/>
        </w:rPr>
        <w:t>MISCELLANEOUS.</w:t>
      </w:r>
    </w:p>
    <w:p>
      <w:pPr>
        <w:pStyle w:val="TextBody"/>
        <w:bidi w:val="0"/>
        <w:spacing w:before="240" w:after="240"/>
        <w:jc w:val="both"/>
        <w:rPr/>
      </w:pPr>
      <w:r>
        <w:rPr/>
        <w:t> </w:t>
      </w:r>
    </w:p>
    <w:p>
      <w:pPr>
        <w:pStyle w:val="TextBody"/>
        <w:bidi w:val="0"/>
        <w:spacing w:before="240" w:after="240"/>
        <w:jc w:val="both"/>
        <w:rPr>
          <w:rFonts w:ascii="Avenir Next LT Pro" w:hAnsi="Avenir Next LT Pro"/>
          <w:color w:val="000000"/>
          <w:sz w:val="24"/>
        </w:rPr>
      </w:pPr>
      <w:r>
        <w:rPr>
          <w:rFonts w:ascii="Avenir Next LT Pro" w:hAnsi="Avenir Next LT Pro"/>
          <w:color w:val="000000"/>
          <w:sz w:val="24"/>
        </w:rPr>
        <w:t>A.</w:t>
      </w:r>
    </w:p>
    <w:p>
      <w:pPr>
        <w:pStyle w:val="TextBody"/>
        <w:bidi w:val="0"/>
        <w:spacing w:before="240" w:after="240"/>
        <w:jc w:val="both"/>
        <w:rPr/>
      </w:pPr>
      <w:r>
        <w:rPr>
          <w:rFonts w:ascii="Avenir Next LT Pro;sans-serif" w:hAnsi="Avenir Next LT Pro;sans-serif"/>
          <w:b/>
          <w:color w:val="4D4D50"/>
          <w:sz w:val="24"/>
        </w:rPr>
        <w:t>Equitable Remedies.</w:t>
      </w:r>
      <w:r>
        <w:rPr>
          <w:color w:val="4D4D50"/>
        </w:rPr>
        <w:t xml:space="preserve"> </w:t>
      </w:r>
      <w:r>
        <w:rPr>
          <w:rFonts w:ascii="Avenir Next LT Pro;sans-serif" w:hAnsi="Avenir Next LT Pro;sans-serif"/>
          <w:color w:val="4D4D50"/>
          <w:sz w:val="24"/>
        </w:rPr>
        <w:t xml:space="preserve">The Employee acknowledges that the restrictions contained in this Agreement are necessary for the protection of the business and goodwill of the Company and its affiliates and are considered by the Employee to be reasonable for such purpose. The Employee agrees that any breach or threatened breach of this Agreement is likely to cause the Company and its affiliates substantial and irrevocable damage which is difficult to measure. Therefore, in the event of any such breach or threatened breach, the Employee agrees that the Company and its affiliates, in addition to such other remedies which may be available to them, shall have the right to obtain an injunction from a court restraining such a breach or threatened breach without posting a bond and the right to specific performance of the provisions of this Agreement and the Employee hereby waives the adequacy of a remedy at law as a defense to such relief. In addition, in the event of any breach or anticipatory breach of this Agreement by the Employee, any grant of temporary, preliminary, or permanent injunctive relief against the Employee, or the Employee’s claim in a declaratory judgment action that all or part of this Agreement is unenforceable, the parties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32</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pPr>
      <w:r>
        <w:rPr>
          <w:rFonts w:ascii="Avenir Next LT Pro;sans-serif" w:hAnsi="Avenir Next LT Pro;sans-serif"/>
          <w:color w:val="4D4D50"/>
          <w:sz w:val="24"/>
        </w:rPr>
        <w:t>agree that the party prevailing in such dispute shall be entitled to collect from the other party all costs incurred in such dispute, including reasonable attorneys’ fees.</w:t>
      </w:r>
      <w:r>
        <w:rPr>
          <w:color w:val="4D4D50"/>
        </w:rPr>
        <w:t xml:space="preserve"> </w:t>
      </w:r>
    </w:p>
    <w:p>
      <w:pPr>
        <w:pStyle w:val="TextBody"/>
        <w:bidi w:val="0"/>
        <w:spacing w:before="240" w:after="240"/>
        <w:jc w:val="both"/>
        <w:rPr/>
      </w:pPr>
      <w:r>
        <w:rPr/>
        <w:t> </w:t>
      </w:r>
    </w:p>
    <w:p>
      <w:pPr>
        <w:pStyle w:val="TextBody"/>
        <w:bidi w:val="0"/>
        <w:spacing w:before="240" w:after="240"/>
        <w:jc w:val="both"/>
        <w:rPr>
          <w:rFonts w:ascii="Avenir Next LT Pro" w:hAnsi="Avenir Next LT Pro"/>
          <w:color w:val="000000"/>
          <w:sz w:val="24"/>
        </w:rPr>
      </w:pPr>
      <w:r>
        <w:rPr>
          <w:rFonts w:ascii="Avenir Next LT Pro" w:hAnsi="Avenir Next LT Pro"/>
          <w:color w:val="000000"/>
          <w:sz w:val="24"/>
        </w:rPr>
        <w:t>B.</w:t>
      </w:r>
    </w:p>
    <w:p>
      <w:pPr>
        <w:pStyle w:val="TextBody"/>
        <w:bidi w:val="0"/>
        <w:spacing w:before="240" w:after="240"/>
        <w:jc w:val="both"/>
        <w:rPr/>
      </w:pPr>
      <w:r>
        <w:rPr>
          <w:rFonts w:ascii="Avenir Next LT Pro;sans-serif" w:hAnsi="Avenir Next LT Pro;sans-serif"/>
          <w:b/>
          <w:color w:val="4D4D50"/>
          <w:sz w:val="24"/>
        </w:rPr>
        <w:t>Not an Employment Contract; At-Will Employment.</w:t>
      </w:r>
      <w:r>
        <w:rPr>
          <w:color w:val="4D4D50"/>
        </w:rPr>
        <w:t xml:space="preserve"> </w:t>
      </w:r>
      <w:r>
        <w:rPr>
          <w:rFonts w:ascii="Avenir Next LT Pro;sans-serif" w:hAnsi="Avenir Next LT Pro;sans-serif"/>
          <w:color w:val="4D4D50"/>
          <w:sz w:val="24"/>
        </w:rPr>
        <w:t>The Employee acknowledges that this Agreement does not constitute a contract of employment, does not imply that the Company will continue the Employee’s employment for any period of time, and does not change the at-will nature of the Employee’s employment. Pursuant to the at-will nature of the Employee’s employment with the Company, the employment relationship between the Employee and the Company may be terminated by either the Employee or the Company at any time, with or without cause and with or without notice.</w:t>
      </w:r>
    </w:p>
    <w:p>
      <w:pPr>
        <w:pStyle w:val="TextBody"/>
        <w:bidi w:val="0"/>
        <w:spacing w:before="240" w:after="240"/>
        <w:jc w:val="both"/>
        <w:rPr/>
      </w:pPr>
      <w:r>
        <w:rPr/>
        <w:t> </w:t>
      </w:r>
    </w:p>
    <w:p>
      <w:pPr>
        <w:pStyle w:val="TextBody"/>
        <w:bidi w:val="0"/>
        <w:spacing w:before="240" w:after="240"/>
        <w:jc w:val="both"/>
        <w:rPr>
          <w:rFonts w:ascii="Avenir Next LT Pro" w:hAnsi="Avenir Next LT Pro"/>
          <w:color w:val="000000"/>
          <w:sz w:val="24"/>
        </w:rPr>
      </w:pPr>
      <w:r>
        <w:rPr>
          <w:rFonts w:ascii="Avenir Next LT Pro" w:hAnsi="Avenir Next LT Pro"/>
          <w:color w:val="000000"/>
          <w:sz w:val="24"/>
        </w:rPr>
        <w:t>C.</w:t>
      </w:r>
    </w:p>
    <w:p>
      <w:pPr>
        <w:pStyle w:val="TextBody"/>
        <w:bidi w:val="0"/>
        <w:spacing w:before="240" w:after="240"/>
        <w:jc w:val="both"/>
        <w:rPr/>
      </w:pPr>
      <w:r>
        <w:rPr>
          <w:rFonts w:ascii="Avenir Next LT Pro;sans-serif" w:hAnsi="Avenir Next LT Pro;sans-serif"/>
          <w:b/>
          <w:color w:val="4D4D50"/>
          <w:sz w:val="24"/>
        </w:rPr>
        <w:t>Tolling of Restrictions.</w:t>
      </w:r>
      <w:r>
        <w:rPr>
          <w:color w:val="4D4D50"/>
        </w:rPr>
        <w:t xml:space="preserve"> </w:t>
      </w:r>
      <w:r>
        <w:rPr>
          <w:rFonts w:ascii="Avenir Next LT Pro;sans-serif" w:hAnsi="Avenir Next LT Pro;sans-serif"/>
          <w:color w:val="4D4D50"/>
          <w:sz w:val="24"/>
        </w:rPr>
        <w:t>If the Employee breaches any restriction set forth in Section 7 of this Agreement, the applicable time period relating to such restriction shall be extended for a period of time equal to that period of time that the Employee has been in breach (not to exceed the maximum duration specified for each such restriction). If Employee violates any fiduciary duty to the Company or any of its affiliates or unlawfully takes any confidential or proprietary information or other property belonging to the Company or any of its affiliates, the Non-Competition Period will extend by the time during which they engage in such violation(s), for up to a total of two (2) years following the termination of the Employee’s employment.</w:t>
      </w:r>
    </w:p>
    <w:p>
      <w:pPr>
        <w:pStyle w:val="TextBody"/>
        <w:bidi w:val="0"/>
        <w:spacing w:before="240" w:after="240"/>
        <w:jc w:val="both"/>
        <w:rPr/>
      </w:pPr>
      <w:r>
        <w:rPr/>
        <w:t> </w:t>
      </w:r>
    </w:p>
    <w:p>
      <w:pPr>
        <w:pStyle w:val="TextBody"/>
        <w:bidi w:val="0"/>
        <w:spacing w:before="240" w:after="240"/>
        <w:jc w:val="both"/>
        <w:rPr>
          <w:rFonts w:ascii="Avenir Next LT Pro" w:hAnsi="Avenir Next LT Pro"/>
          <w:color w:val="000000"/>
          <w:sz w:val="24"/>
        </w:rPr>
      </w:pPr>
      <w:r>
        <w:rPr>
          <w:rFonts w:ascii="Avenir Next LT Pro" w:hAnsi="Avenir Next LT Pro"/>
          <w:color w:val="000000"/>
          <w:sz w:val="24"/>
        </w:rPr>
        <w:t>D.</w:t>
      </w:r>
    </w:p>
    <w:p>
      <w:pPr>
        <w:pStyle w:val="TextBody"/>
        <w:bidi w:val="0"/>
        <w:spacing w:before="240" w:after="240"/>
        <w:jc w:val="both"/>
        <w:rPr/>
      </w:pPr>
      <w:r>
        <w:rPr>
          <w:rFonts w:ascii="Avenir Next LT Pro;sans-serif" w:hAnsi="Avenir Next LT Pro;sans-serif"/>
          <w:b/>
          <w:color w:val="4D4D50"/>
          <w:sz w:val="24"/>
        </w:rPr>
        <w:t>Successors and Assigns.</w:t>
      </w:r>
      <w:r>
        <w:rPr>
          <w:color w:val="4D4D50"/>
        </w:rPr>
        <w:t xml:space="preserve"> </w:t>
      </w:r>
      <w:r>
        <w:rPr>
          <w:rFonts w:ascii="Avenir Next LT Pro;sans-serif" w:hAnsi="Avenir Next LT Pro;sans-serif"/>
          <w:color w:val="4D4D50"/>
          <w:sz w:val="24"/>
        </w:rPr>
        <w:t xml:space="preserve">This Agreement shall be binding upon and inure to the benefit of both parties and their respective successors and assigns, including any corporation or entity with which, or into which, the Company may be merged, or which may succeed to the Company’s assets or business, provided, however, that the obligations of the Employee are personal and shall not be assigned by him or her. The Employee expressly consents to be bound by the provisions of this Agreement for the benefit of the Company or any subsidiary or affiliate thereof to whose employ the Employee may be transferred without the necessity that this Agreement be re-signed at the time of such transfer. </w:t>
      </w:r>
    </w:p>
    <w:p>
      <w:pPr>
        <w:pStyle w:val="TextBody"/>
        <w:bidi w:val="0"/>
        <w:spacing w:before="240" w:after="240"/>
        <w:jc w:val="both"/>
        <w:rPr/>
      </w:pPr>
      <w:r>
        <w:rPr/>
        <w:t> </w:t>
      </w:r>
    </w:p>
    <w:p>
      <w:pPr>
        <w:pStyle w:val="TextBody"/>
        <w:bidi w:val="0"/>
        <w:spacing w:before="240" w:after="240"/>
        <w:jc w:val="both"/>
        <w:rPr>
          <w:rFonts w:ascii="Avenir Next LT Pro" w:hAnsi="Avenir Next LT Pro"/>
          <w:color w:val="000000"/>
          <w:sz w:val="24"/>
        </w:rPr>
      </w:pPr>
      <w:r>
        <w:rPr>
          <w:rFonts w:ascii="Avenir Next LT Pro" w:hAnsi="Avenir Next LT Pro"/>
          <w:color w:val="000000"/>
          <w:sz w:val="24"/>
        </w:rPr>
        <w:t>E.</w:t>
      </w:r>
    </w:p>
    <w:p>
      <w:pPr>
        <w:pStyle w:val="TextBody"/>
        <w:bidi w:val="0"/>
        <w:spacing w:before="240" w:after="240"/>
        <w:jc w:val="both"/>
        <w:rPr/>
      </w:pPr>
      <w:r>
        <w:rPr>
          <w:rFonts w:ascii="Avenir Next LT Pro;sans-serif" w:hAnsi="Avenir Next LT Pro;sans-serif"/>
          <w:b/>
          <w:color w:val="4D4D50"/>
          <w:sz w:val="24"/>
        </w:rPr>
        <w:t>Interpretation.</w:t>
      </w:r>
      <w:r>
        <w:rPr>
          <w:color w:val="4D4D50"/>
        </w:rPr>
        <w:t xml:space="preserve"> </w:t>
      </w:r>
      <w:r>
        <w:rPr>
          <w:rFonts w:ascii="Avenir Next LT Pro;sans-serif" w:hAnsi="Avenir Next LT Pro;sans-serif"/>
          <w:color w:val="4D4D50"/>
          <w:sz w:val="24"/>
        </w:rPr>
        <w:t>If any restriction set forth in this Agreement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pStyle w:val="TextBody"/>
        <w:bidi w:val="0"/>
        <w:spacing w:before="240" w:after="240"/>
        <w:jc w:val="both"/>
        <w:rPr/>
      </w:pPr>
      <w:r>
        <w:rPr/>
        <w:t>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33</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rFonts w:ascii="Avenir Next LT Pro" w:hAnsi="Avenir Next LT Pro"/>
          <w:color w:val="000000"/>
          <w:sz w:val="24"/>
        </w:rPr>
      </w:pPr>
      <w:r>
        <w:rPr>
          <w:rFonts w:ascii="Avenir Next LT Pro" w:hAnsi="Avenir Next LT Pro"/>
          <w:color w:val="000000"/>
          <w:sz w:val="24"/>
        </w:rPr>
        <w:t>F.</w:t>
      </w:r>
    </w:p>
    <w:p>
      <w:pPr>
        <w:pStyle w:val="TextBody"/>
        <w:bidi w:val="0"/>
        <w:spacing w:before="240" w:after="240"/>
        <w:jc w:val="both"/>
        <w:rPr/>
      </w:pPr>
      <w:r>
        <w:rPr>
          <w:rFonts w:ascii="Avenir Next LT Pro;sans-serif" w:hAnsi="Avenir Next LT Pro;sans-serif"/>
          <w:b/>
          <w:color w:val="4D4D50"/>
          <w:sz w:val="24"/>
        </w:rPr>
        <w:t>Severability.</w:t>
      </w:r>
      <w:r>
        <w:rPr>
          <w:color w:val="4D4D50"/>
        </w:rPr>
        <w:t xml:space="preserve"> </w:t>
      </w:r>
      <w:r>
        <w:rPr>
          <w:rFonts w:ascii="Avenir Next LT Pro;sans-serif" w:hAnsi="Avenir Next LT Pro;sans-serif"/>
          <w:color w:val="4D4D50"/>
          <w:sz w:val="24"/>
        </w:rPr>
        <w:t>In case any provision of this Agreement shall be invalid, illegal, or otherwise unenforceable, the validity, legality and enforceability of the remaining provisions shall in no way be affected or impaired thereby.</w:t>
      </w:r>
    </w:p>
    <w:p>
      <w:pPr>
        <w:pStyle w:val="TextBody"/>
        <w:bidi w:val="0"/>
        <w:spacing w:before="240" w:after="240"/>
        <w:jc w:val="both"/>
        <w:rPr/>
      </w:pPr>
      <w:r>
        <w:rPr/>
        <w:t> </w:t>
      </w:r>
    </w:p>
    <w:p>
      <w:pPr>
        <w:pStyle w:val="TextBody"/>
        <w:bidi w:val="0"/>
        <w:spacing w:before="240" w:after="240"/>
        <w:jc w:val="both"/>
        <w:rPr>
          <w:rFonts w:ascii="Avenir Next LT Pro" w:hAnsi="Avenir Next LT Pro"/>
          <w:color w:val="000000"/>
          <w:sz w:val="24"/>
        </w:rPr>
      </w:pPr>
      <w:r>
        <w:rPr>
          <w:rFonts w:ascii="Avenir Next LT Pro" w:hAnsi="Avenir Next LT Pro"/>
          <w:color w:val="000000"/>
          <w:sz w:val="24"/>
        </w:rPr>
        <w:t>G.</w:t>
      </w:r>
    </w:p>
    <w:p>
      <w:pPr>
        <w:pStyle w:val="TextBody"/>
        <w:bidi w:val="0"/>
        <w:spacing w:before="240" w:after="240"/>
        <w:jc w:val="both"/>
        <w:rPr/>
      </w:pPr>
      <w:r>
        <w:rPr>
          <w:rFonts w:ascii="Avenir Next LT Pro;sans-serif" w:hAnsi="Avenir Next LT Pro;sans-serif"/>
          <w:b/>
          <w:color w:val="4D4D50"/>
          <w:sz w:val="24"/>
        </w:rPr>
        <w:t>Waivers.</w:t>
      </w:r>
      <w:r>
        <w:rPr>
          <w:color w:val="4D4D50"/>
        </w:rPr>
        <w:t xml:space="preserve"> </w:t>
      </w:r>
      <w:r>
        <w:rPr>
          <w:rFonts w:ascii="Avenir Next LT Pro;sans-serif" w:hAnsi="Avenir Next LT Pro;sans-serif"/>
          <w:color w:val="4D4D50"/>
          <w:sz w:val="24"/>
        </w:rPr>
        <w:t>No delay or omission by the Company in exercising any right under this Agreement will operate as a waiver of that or any other right. A waiver or consent given by the Company on any one occasion is effective only in that instance and will not be construed as a bar to or waiver of any right on any other occasion.</w:t>
      </w:r>
    </w:p>
    <w:p>
      <w:pPr>
        <w:pStyle w:val="TextBody"/>
        <w:bidi w:val="0"/>
        <w:spacing w:before="240" w:after="240"/>
        <w:jc w:val="both"/>
        <w:rPr/>
      </w:pPr>
      <w:r>
        <w:rPr/>
        <w:t> </w:t>
      </w:r>
    </w:p>
    <w:p>
      <w:pPr>
        <w:pStyle w:val="TextBody"/>
        <w:bidi w:val="0"/>
        <w:spacing w:before="240" w:after="240"/>
        <w:jc w:val="both"/>
        <w:rPr>
          <w:rFonts w:ascii="Avenir Next LT Pro" w:hAnsi="Avenir Next LT Pro"/>
          <w:color w:val="000000"/>
          <w:sz w:val="24"/>
        </w:rPr>
      </w:pPr>
      <w:r>
        <w:rPr>
          <w:rFonts w:ascii="Avenir Next LT Pro" w:hAnsi="Avenir Next LT Pro"/>
          <w:color w:val="000000"/>
          <w:sz w:val="24"/>
        </w:rPr>
        <w:t>H.</w:t>
      </w:r>
    </w:p>
    <w:p>
      <w:pPr>
        <w:pStyle w:val="TextBody"/>
        <w:bidi w:val="0"/>
        <w:spacing w:before="240" w:after="240"/>
        <w:jc w:val="both"/>
        <w:rPr/>
      </w:pPr>
      <w:r>
        <w:rPr>
          <w:rFonts w:ascii="Avenir Next LT Pro;sans-serif" w:hAnsi="Avenir Next LT Pro;sans-serif"/>
          <w:b/>
          <w:color w:val="4D4D50"/>
          <w:sz w:val="24"/>
        </w:rPr>
        <w:t>Governing Law and Consent to Jurisdiction.</w:t>
      </w:r>
      <w:r>
        <w:rPr>
          <w:color w:val="4D4D50"/>
        </w:rPr>
        <w:t xml:space="preserve"> </w:t>
      </w:r>
      <w:r>
        <w:rPr>
          <w:rFonts w:ascii="Avenir Next LT Pro;sans-serif" w:hAnsi="Avenir Next LT Pro;sans-serif"/>
          <w:color w:val="4D4D50"/>
          <w:sz w:val="24"/>
        </w:rPr>
        <w:t xml:space="preserve">This Agreement shall be governed by and construed in accordance with the laws of the Commonwealth of Massachusetts (without reference to the conflicts of laws provisions thereof). Any action, suit, or other legal proceeding which is commenced to resolve any matter arising under or relating to any provision of this Agreement shall be commenced only in a court of the Commonwealth of Massachusetts (or, if appropriate, a federal court located within Massachusetts), and the Company and the Employee each consents to the jurisdiction of such a court. The Company and the Employee each hereby irrevocably waive any right to a trial by jury in any action, suit or other legal proceeding arising under or relating to any provision of this Agreement. The Employee freely and voluntarily consents to the personal jurisdiction and venue of the state or federal courts in the Commonwealth of Massachusetts for any action relating to or arising from this Agreement. </w:t>
      </w:r>
    </w:p>
    <w:p>
      <w:pPr>
        <w:pStyle w:val="TextBody"/>
        <w:bidi w:val="0"/>
        <w:spacing w:before="240" w:after="240"/>
        <w:jc w:val="both"/>
        <w:rPr/>
      </w:pPr>
      <w:r>
        <w:rPr/>
        <w:t> </w:t>
      </w:r>
    </w:p>
    <w:p>
      <w:pPr>
        <w:pStyle w:val="TextBody"/>
        <w:bidi w:val="0"/>
        <w:spacing w:before="240" w:after="240"/>
        <w:jc w:val="both"/>
        <w:rPr>
          <w:rFonts w:ascii="Avenir Next LT Pro" w:hAnsi="Avenir Next LT Pro"/>
          <w:color w:val="000000"/>
          <w:sz w:val="24"/>
        </w:rPr>
      </w:pPr>
      <w:r>
        <w:rPr>
          <w:rFonts w:ascii="Avenir Next LT Pro" w:hAnsi="Avenir Next LT Pro"/>
          <w:color w:val="000000"/>
          <w:sz w:val="24"/>
        </w:rPr>
        <w:t>I.</w:t>
      </w:r>
    </w:p>
    <w:p>
      <w:pPr>
        <w:pStyle w:val="TextBody"/>
        <w:bidi w:val="0"/>
        <w:spacing w:before="240" w:after="240"/>
        <w:jc w:val="both"/>
        <w:rPr/>
      </w:pPr>
      <w:r>
        <w:rPr>
          <w:rFonts w:ascii="Avenir Next LT Pro;sans-serif" w:hAnsi="Avenir Next LT Pro;sans-serif"/>
          <w:b/>
          <w:color w:val="4D4D50"/>
          <w:sz w:val="24"/>
        </w:rPr>
        <w:t>Entire Agreement; Amendment.</w:t>
      </w:r>
      <w:r>
        <w:rPr>
          <w:color w:val="4D4D50"/>
        </w:rPr>
        <w:t xml:space="preserve"> </w:t>
      </w:r>
      <w:r>
        <w:rPr>
          <w:rFonts w:ascii="Avenir Next LT Pro;sans-serif" w:hAnsi="Avenir Next LT Pro;sans-serif"/>
          <w:color w:val="4D4D50"/>
          <w:sz w:val="24"/>
        </w:rPr>
        <w:t>This Agreement supersedes all prior agreements, written or oral, between the Employee and the Company relating to the subject matter of this Agreement. This Agreement may not be modified, changed, or discharged in whole or in part, except by an agreement in writing signed by the Employee and the Company. The Employee agrees that any change or changes in the material terms of the Employee’s job, including but not limited to changes in duties, title, reporting structure, salary or compensation after the signing of this Agreement shall not affect the validity or scope of this Agreement.</w:t>
      </w:r>
    </w:p>
    <w:p>
      <w:pPr>
        <w:pStyle w:val="TextBody"/>
        <w:bidi w:val="0"/>
        <w:spacing w:before="240" w:after="240"/>
        <w:jc w:val="both"/>
        <w:rPr/>
      </w:pPr>
      <w:r>
        <w:rPr/>
        <w:t> </w:t>
      </w:r>
    </w:p>
    <w:p>
      <w:pPr>
        <w:pStyle w:val="TextBody"/>
        <w:bidi w:val="0"/>
        <w:spacing w:before="240" w:after="240"/>
        <w:jc w:val="both"/>
        <w:rPr>
          <w:rFonts w:ascii="Avenir Next LT Pro" w:hAnsi="Avenir Next LT Pro"/>
          <w:color w:val="000000"/>
          <w:sz w:val="24"/>
        </w:rPr>
      </w:pPr>
      <w:r>
        <w:rPr>
          <w:rFonts w:ascii="Avenir Next LT Pro" w:hAnsi="Avenir Next LT Pro"/>
          <w:color w:val="000000"/>
          <w:sz w:val="24"/>
        </w:rPr>
        <w:t>J.</w:t>
      </w:r>
    </w:p>
    <w:p>
      <w:pPr>
        <w:pStyle w:val="TextBody"/>
        <w:bidi w:val="0"/>
        <w:spacing w:before="240" w:after="240"/>
        <w:jc w:val="both"/>
        <w:rPr/>
      </w:pPr>
      <w:r>
        <w:rPr>
          <w:rFonts w:ascii="Avenir Next LT Pro;sans-serif" w:hAnsi="Avenir Next LT Pro;sans-serif"/>
          <w:b/>
          <w:color w:val="4D4D50"/>
          <w:sz w:val="24"/>
        </w:rPr>
        <w:t>Captions.</w:t>
      </w:r>
      <w:r>
        <w:rPr>
          <w:color w:val="4D4D50"/>
        </w:rPr>
        <w:t xml:space="preserve"> </w:t>
      </w:r>
      <w:r>
        <w:rPr>
          <w:rFonts w:ascii="Avenir Next LT Pro;sans-serif" w:hAnsi="Avenir Next LT Pro;sans-serif"/>
          <w:color w:val="4D4D50"/>
          <w:sz w:val="24"/>
        </w:rPr>
        <w:t>The captions of the sections of this Agreement are for convenience of reference only and in no way define, limit, or affect the scope or substance of any section of this Agreement.</w:t>
      </w:r>
    </w:p>
    <w:p>
      <w:pPr>
        <w:pStyle w:val="TextBody"/>
        <w:bidi w:val="0"/>
        <w:spacing w:before="240" w:after="240"/>
        <w:jc w:val="center"/>
        <w:rPr/>
      </w:pPr>
      <w:r>
        <w:rPr/>
        <w:t>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34</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center"/>
        <w:rPr>
          <w:rFonts w:ascii="Avenir Next LT Pro;sans-serif" w:hAnsi="Avenir Next LT Pro;sans-serif"/>
          <w:color w:val="4D4D50"/>
          <w:sz w:val="24"/>
        </w:rPr>
      </w:pPr>
      <w:r>
        <w:rPr>
          <w:rFonts w:ascii="Avenir Next LT Pro;sans-serif" w:hAnsi="Avenir Next LT Pro;sans-serif"/>
          <w:color w:val="4D4D50"/>
          <w:sz w:val="24"/>
        </w:rPr>
        <w:t>[Remainder of Page Intentionally Left Blank]</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35</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Avenir Next LT Pro;sans-serif" w:hAnsi="Avenir Next LT Pro;sans-serif"/>
          <w:color w:val="4D4D50"/>
          <w:sz w:val="24"/>
        </w:rPr>
        <w:t>EMPLOYEE</w:t>
      </w:r>
      <w:r>
        <w:rPr>
          <w:rFonts w:ascii="Times New Roman" w:hAnsi="Times New Roman"/>
          <w:caps/>
          <w:color w:val="4D4D50"/>
          <w:sz w:val="20"/>
        </w:rPr>
        <w:t xml:space="preserve"> </w:t>
      </w:r>
      <w:r>
        <w:rPr>
          <w:rFonts w:ascii="Avenir Next LT Pro;sans-serif" w:hAnsi="Avenir Next LT Pro;sans-serif"/>
          <w:caps/>
          <w:color w:val="4D4D50"/>
          <w:sz w:val="24"/>
        </w:rPr>
        <w:t xml:space="preserve">acknowledgeS that (1) the Company provided EMPLOYEE with this Agreement by the earlier of (a) the date of a formal offer of employment from the Company or (b) ten (10) business days before the commencement of employment with the Company, (2) EMPLOYEE HAS been and IS hereby advised of EMPLOYEE’S right to consult an attorney before signing this Agreement, AND (3) </w:t>
      </w:r>
      <w:r>
        <w:rPr>
          <w:rFonts w:ascii="Avenir Next LT Pro;sans-serif" w:hAnsi="Avenir Next LT Pro;sans-serif"/>
          <w:color w:val="4D4D50"/>
          <w:sz w:val="24"/>
        </w:rPr>
        <w:t>HE/SHE HAS CAREFULLY READ THIS AGREEMENT AND UNDERSTANDS AND AGREES TO ALL OF THE PROVISIONS IN THIS AGREEMENT.</w:t>
      </w:r>
    </w:p>
    <w:p>
      <w:pPr>
        <w:pStyle w:val="TextBody"/>
        <w:bidi w:val="0"/>
        <w:spacing w:before="240" w:after="240"/>
        <w:jc w:val="left"/>
        <w:rPr/>
      </w:pPr>
      <w:r>
        <w:rPr/>
        <w:t> </w:t>
      </w:r>
    </w:p>
    <w:p>
      <w:pPr>
        <w:pStyle w:val="TextBody"/>
        <w:bidi w:val="0"/>
        <w:spacing w:before="240" w:after="240"/>
        <w:jc w:val="left"/>
        <w:rPr/>
      </w:pPr>
      <w:r>
        <w:rPr/>
        <w:t> </w:t>
      </w:r>
    </w:p>
    <w:tbl>
      <w:tblPr>
        <w:tblW w:w="7367" w:type="dxa"/>
        <w:jc w:val="left"/>
        <w:tblInd w:w="0" w:type="dxa"/>
        <w:tblLayout w:type="fixed"/>
        <w:tblCellMar>
          <w:top w:w="28" w:type="dxa"/>
          <w:left w:w="28" w:type="dxa"/>
          <w:bottom w:w="28" w:type="dxa"/>
          <w:right w:w="28" w:type="dxa"/>
        </w:tblCellMar>
      </w:tblPr>
      <w:tblGrid>
        <w:gridCol w:w="3481"/>
        <w:gridCol w:w="3886"/>
      </w:tblGrid>
      <w:tr>
        <w:trPr/>
        <w:tc>
          <w:tcPr>
            <w:tcW w:w="3481"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3481" w:type="dxa"/>
            <w:tcBorders/>
            <w:tcMar>
              <w:top w:w="0" w:type="dxa"/>
              <w:left w:w="0" w:type="dxa"/>
              <w:bottom w:w="0" w:type="dxa"/>
              <w:right w:w="0" w:type="dxa"/>
            </w:tcMar>
            <w:vAlign w:val="center"/>
          </w:tcPr>
          <w:p>
            <w:pPr>
              <w:pStyle w:val="TableContents"/>
              <w:bidi w:val="0"/>
              <w:spacing w:before="240" w:after="240"/>
              <w:jc w:val="left"/>
              <w:rPr/>
            </w:pPr>
            <w:r>
              <w:rPr/>
              <w:t> </w:t>
            </w:r>
          </w:p>
        </w:tc>
        <w:tc>
          <w:tcPr>
            <w:tcW w:w="3886" w:type="dxa"/>
            <w:tcBorders/>
            <w:tcMar>
              <w:top w:w="0" w:type="dxa"/>
              <w:left w:w="0" w:type="dxa"/>
              <w:bottom w:w="0" w:type="dxa"/>
              <w:right w:w="0" w:type="dxa"/>
            </w:tcMar>
            <w:vAlign w:val="center"/>
          </w:tcPr>
          <w:p>
            <w:pPr>
              <w:pStyle w:val="TableContents"/>
              <w:bidi w:val="0"/>
              <w:spacing w:before="240" w:after="240"/>
              <w:jc w:val="left"/>
              <w:rPr>
                <w:rFonts w:ascii="Avenir Next LT Pro;sans-serif" w:hAnsi="Avenir Next LT Pro;sans-serif"/>
                <w:color w:val="4D4D50"/>
                <w:sz w:val="24"/>
              </w:rPr>
            </w:pPr>
            <w:r>
              <w:rPr>
                <w:rFonts w:ascii="Avenir Next LT Pro;sans-serif" w:hAnsi="Avenir Next LT Pro;sans-serif"/>
                <w:color w:val="4D4D50"/>
                <w:sz w:val="24"/>
              </w:rPr>
              <w:t>TransMedics, Inc.</w:t>
            </w:r>
          </w:p>
        </w:tc>
      </w:tr>
      <w:tr>
        <w:trPr/>
        <w:tc>
          <w:tcPr>
            <w:tcW w:w="3481" w:type="dxa"/>
            <w:tcBorders/>
            <w:tcMar>
              <w:top w:w="0" w:type="dxa"/>
              <w:left w:w="0" w:type="dxa"/>
              <w:bottom w:w="0" w:type="dxa"/>
              <w:right w:w="0" w:type="dxa"/>
            </w:tcMar>
            <w:vAlign w:val="center"/>
          </w:tcPr>
          <w:p>
            <w:pPr>
              <w:pStyle w:val="TableContents"/>
              <w:bidi w:val="0"/>
              <w:spacing w:before="240" w:after="240"/>
              <w:jc w:val="left"/>
              <w:rPr>
                <w:rFonts w:ascii="Avenir Next LT Pro;sans-serif" w:hAnsi="Avenir Next LT Pro;sans-serif"/>
                <w:color w:val="4D4D50"/>
                <w:sz w:val="24"/>
              </w:rPr>
            </w:pPr>
            <w:r>
              <w:rPr>
                <w:rFonts w:ascii="Avenir Next LT Pro;sans-serif" w:hAnsi="Avenir Next LT Pro;sans-serif"/>
                <w:color w:val="4D4D50"/>
                <w:sz w:val="24"/>
              </w:rPr>
              <w:t>Date: ______________________</w:t>
            </w:r>
          </w:p>
        </w:tc>
        <w:tc>
          <w:tcPr>
            <w:tcW w:w="388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sz w:val="24"/>
              </w:rPr>
            </w:pPr>
            <w:r>
              <w:rPr>
                <w:rFonts w:ascii="Avenir Next LT Pro;sans-serif" w:hAnsi="Avenir Next LT Pro;sans-serif"/>
                <w:color w:val="4D4D50"/>
                <w:sz w:val="24"/>
              </w:rPr>
              <w:t>By:____________________________</w:t>
              <w:br/>
            </w:r>
            <w:r>
              <w:rPr>
                <w:rFonts w:ascii="Times New Roman" w:hAnsi="Times New Roman"/>
                <w:color w:val="4D4D50"/>
                <w:sz w:val="24"/>
              </w:rPr>
              <w:t> </w:t>
            </w:r>
          </w:p>
          <w:p>
            <w:pPr>
              <w:pStyle w:val="TableContents"/>
              <w:bidi w:val="0"/>
              <w:jc w:val="left"/>
              <w:rPr/>
            </w:pPr>
            <w:r>
              <w:rPr/>
              <w:t> </w:t>
            </w:r>
          </w:p>
          <w:p>
            <w:pPr>
              <w:pStyle w:val="TableContents"/>
              <w:bidi w:val="0"/>
              <w:spacing w:before="240" w:after="240"/>
              <w:jc w:val="left"/>
              <w:rPr/>
            </w:pPr>
            <w:r>
              <w:rPr/>
              <w:t> </w:t>
            </w:r>
          </w:p>
        </w:tc>
      </w:tr>
    </w:tbl>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rFonts w:ascii="Avenir Next LT Pro;sans-serif" w:hAnsi="Avenir Next LT Pro;sans-serif"/>
          <w:color w:val="4D4D50"/>
          <w:sz w:val="24"/>
        </w:rPr>
      </w:pPr>
      <w:r>
        <w:rPr>
          <w:rFonts w:ascii="Avenir Next LT Pro;sans-serif" w:hAnsi="Avenir Next LT Pro;sans-serif"/>
          <w:color w:val="4D4D50"/>
          <w:sz w:val="24"/>
        </w:rPr>
        <w:t>EMPLOYEE</w:t>
      </w:r>
    </w:p>
    <w:p>
      <w:pPr>
        <w:pStyle w:val="TextBody"/>
        <w:bidi w:val="0"/>
        <w:spacing w:before="240" w:after="240"/>
        <w:jc w:val="left"/>
        <w:rPr>
          <w:rFonts w:ascii="Avenir Next LT Pro;sans-serif" w:hAnsi="Avenir Next LT Pro;sans-serif"/>
          <w:color w:val="4D4D50"/>
          <w:sz w:val="24"/>
        </w:rPr>
      </w:pPr>
      <w:r>
        <w:rPr>
          <w:rFonts w:ascii="Avenir Next LT Pro;sans-serif" w:hAnsi="Avenir Next LT Pro;sans-serif"/>
          <w:color w:val="4D4D50"/>
          <w:sz w:val="24"/>
        </w:rPr>
        <w:t>Date:________________________ _______________________________</w:t>
      </w:r>
    </w:p>
    <w:p>
      <w:pPr>
        <w:pStyle w:val="TextBody"/>
        <w:bidi w:val="0"/>
        <w:spacing w:before="240" w:after="240"/>
        <w:jc w:val="left"/>
        <w:rPr>
          <w:rFonts w:ascii="Avenir Next LT Pro;sans-serif" w:hAnsi="Avenir Next LT Pro;sans-serif"/>
          <w:color w:val="4D4D50"/>
          <w:sz w:val="24"/>
        </w:rPr>
      </w:pPr>
      <w:r>
        <w:rPr>
          <w:rFonts w:ascii="Avenir Next LT Pro;sans-serif" w:hAnsi="Avenir Next LT Pro;sans-serif"/>
          <w:color w:val="4D4D50"/>
          <w:sz w:val="24"/>
        </w:rPr>
        <w:t>NAME</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36</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rFonts w:ascii="Times New Roman" w:hAnsi="Times New Roman"/>
          <w:sz w:val="20"/>
        </w:rPr>
      </w:pPr>
      <w:r>
        <w:rPr>
          <w:rFonts w:ascii="Avenir Next LT Pro;sans-serif" w:hAnsi="Avenir Next LT Pro;sans-serif"/>
          <w:b/>
          <w:color w:val="C00000"/>
          <w:sz w:val="32"/>
        </w:rPr>
        <w:t>APPENDIX 1</w:t>
      </w:r>
      <w:r>
        <w:rPr>
          <w:rFonts w:ascii="Times New Roman" w:hAnsi="Times New Roman"/>
          <w:color w:val="C00000"/>
          <w:sz w:val="20"/>
        </w:rPr>
        <w:t xml:space="preserve"> </w:t>
      </w:r>
    </w:p>
    <w:p>
      <w:pPr>
        <w:pStyle w:val="TextBody"/>
        <w:bidi w:val="0"/>
        <w:spacing w:before="240" w:after="240"/>
        <w:jc w:val="left"/>
        <w:rPr>
          <w:rFonts w:ascii="Avenir Next LT Pro;sans-serif" w:hAnsi="Avenir Next LT Pro;sans-serif"/>
          <w:color w:val="4D4D50"/>
          <w:sz w:val="24"/>
        </w:rPr>
      </w:pPr>
      <w:r>
        <w:rPr>
          <w:rFonts w:ascii="Avenir Next LT Pro;sans-serif" w:hAnsi="Avenir Next LT Pro;sans-serif"/>
          <w:color w:val="4D4D50"/>
          <w:sz w:val="24"/>
        </w:rPr>
        <w:t>LIST OF PRIOR INVENTIONS AND ORIGINAL WORKS OF AUTHORSHIP EXCLUDED</w:t>
      </w:r>
    </w:p>
    <w:p>
      <w:pPr>
        <w:pStyle w:val="TextBody"/>
        <w:bidi w:val="0"/>
        <w:spacing w:before="240" w:after="240"/>
        <w:jc w:val="left"/>
        <w:rPr>
          <w:rFonts w:ascii="Avenir Next LT Pro;sans-serif" w:hAnsi="Avenir Next LT Pro;sans-serif"/>
          <w:color w:val="4D4D50"/>
          <w:sz w:val="24"/>
        </w:rPr>
      </w:pPr>
      <w:r>
        <w:rPr>
          <w:rFonts w:ascii="Avenir Next LT Pro;sans-serif" w:hAnsi="Avenir Next LT Pro;sans-serif"/>
          <w:color w:val="4D4D50"/>
          <w:sz w:val="24"/>
        </w:rPr>
        <w:t>UNDER SECTION 3(A) OR CONFLICTING AGREEMENTS DISCLOSED UNDER SECTION 4</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rFonts w:ascii="Avenir Next LT Pro;sans-serif" w:hAnsi="Avenir Next LT Pro;sans-serif"/>
          <w:color w:val="4D4D50"/>
          <w:sz w:val="24"/>
          <w:u w:val="single"/>
        </w:rPr>
      </w:pPr>
      <w:r>
        <w:rPr>
          <w:rFonts w:ascii="Avenir Next LT Pro;sans-serif" w:hAnsi="Avenir Next LT Pro;sans-serif"/>
          <w:color w:val="4D4D50"/>
          <w:sz w:val="24"/>
          <w:u w:val="single"/>
        </w:rPr>
        <w:t xml:space="preserve">Title Date Identifying Number or Brief Description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Avenir Next LT Pro;sans-serif" w:hAnsi="Avenir Next LT Pro;sans-serif"/>
          <w:color w:val="4D4D50"/>
          <w:sz w:val="24"/>
        </w:rPr>
        <w:t xml:space="preserve">Except as indicated above on this </w:t>
      </w:r>
      <w:r>
        <w:rPr>
          <w:rFonts w:ascii="Avenir Next LT Pro;sans-serif" w:hAnsi="Avenir Next LT Pro;sans-serif"/>
          <w:b/>
          <w:color w:val="4D4D50"/>
          <w:sz w:val="24"/>
        </w:rPr>
        <w:t>Appendix 1</w:t>
      </w:r>
      <w:r>
        <w:rPr>
          <w:rFonts w:ascii="Avenir Next LT Pro;sans-serif" w:hAnsi="Avenir Next LT Pro;sans-serif"/>
          <w:color w:val="4D4D50"/>
          <w:sz w:val="24"/>
        </w:rPr>
        <w:t>, I have no Prior Developments to disclose pursuant to Section 3.A. of this Agreement and no agreements to disclose pursuant to Section 4 of this Agreement.</w:t>
      </w:r>
    </w:p>
    <w:p>
      <w:pPr>
        <w:pStyle w:val="TextBody"/>
        <w:bidi w:val="0"/>
        <w:spacing w:before="240" w:after="240"/>
        <w:jc w:val="left"/>
        <w:rPr/>
      </w:pPr>
      <w:r>
        <w:rPr/>
        <w:t> </w:t>
      </w:r>
    </w:p>
    <w:p>
      <w:pPr>
        <w:pStyle w:val="TextBody"/>
        <w:bidi w:val="0"/>
        <w:spacing w:before="360" w:after="240"/>
        <w:jc w:val="both"/>
        <w:rPr>
          <w:rFonts w:ascii="Avenir Next LT Pro;sans-serif" w:hAnsi="Avenir Next LT Pro;sans-serif"/>
          <w:b/>
          <w:color w:val="4D4D50"/>
          <w:sz w:val="24"/>
        </w:rPr>
      </w:pPr>
      <w:r>
        <w:rPr>
          <w:rFonts w:ascii="Avenir Next LT Pro;sans-serif" w:hAnsi="Avenir Next LT Pro;sans-serif"/>
          <w:b/>
          <w:color w:val="4D4D50"/>
          <w:sz w:val="24"/>
        </w:rPr>
        <w:t>EMPLOYEE:</w:t>
      </w:r>
    </w:p>
    <w:p>
      <w:pPr>
        <w:pStyle w:val="TextBody"/>
        <w:bidi w:val="0"/>
        <w:spacing w:before="480" w:after="240"/>
        <w:jc w:val="both"/>
        <w:rPr>
          <w:rFonts w:ascii="Avenir Next LT Pro;sans-serif" w:hAnsi="Avenir Next LT Pro;sans-serif"/>
          <w:color w:val="4D4D50"/>
          <w:sz w:val="24"/>
        </w:rPr>
      </w:pPr>
      <w:r>
        <w:rPr>
          <w:rFonts w:ascii="Avenir Next LT Pro;sans-serif" w:hAnsi="Avenir Next LT Pro;sans-serif"/>
          <w:color w:val="4D4D50"/>
          <w:sz w:val="24"/>
        </w:rPr>
        <w:t xml:space="preserve">By: </w:t>
      </w:r>
    </w:p>
    <w:p>
      <w:pPr>
        <w:pStyle w:val="TextBody"/>
        <w:bidi w:val="0"/>
        <w:spacing w:before="480" w:after="240"/>
        <w:jc w:val="both"/>
        <w:rPr>
          <w:rFonts w:ascii="Times New Roman" w:hAnsi="Times New Roman"/>
          <w:sz w:val="20"/>
        </w:rPr>
      </w:pPr>
      <w:r>
        <w:rPr>
          <w:rFonts w:ascii="Avenir Next LT Pro;sans-serif" w:hAnsi="Avenir Next LT Pro;sans-serif"/>
          <w:color w:val="4D4D50"/>
          <w:sz w:val="24"/>
        </w:rPr>
        <w:t>Name:</w:t>
      </w:r>
      <w:r>
        <w:rPr>
          <w:rFonts w:ascii="Times New Roman" w:hAnsi="Times New Roman"/>
          <w:color w:val="4D4D50"/>
          <w:sz w:val="20"/>
          <w:u w:val="single"/>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37</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rFonts w:ascii="Avenir Next LT Pro;sans-serif" w:hAnsi="Avenir Next LT Pro;sans-serif"/>
          <w:b/>
          <w:color w:val="4D4D50"/>
          <w:sz w:val="24"/>
        </w:rPr>
      </w:pPr>
      <w:r>
        <w:rPr>
          <w:rFonts w:ascii="Avenir Next LT Pro;sans-serif" w:hAnsi="Avenir Next LT Pro;sans-serif"/>
          <w:b/>
          <w:color w:val="4D4D50"/>
          <w:sz w:val="24"/>
        </w:rPr>
        <w:t xml:space="preserve">NAME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38</w:t>
      </w:r>
    </w:p>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bookmarkStart w:id="51" w:name="tmdx-ex10_43.htm"/>
      <w:bookmarkStart w:id="52" w:name="kstmdxex10_43"/>
      <w:bookmarkEnd w:id="51"/>
      <w:bookmarkEnd w:id="52"/>
      <w:r>
        <w:rPr/>
        <w:t> </w:t>
      </w:r>
      <w:r>
        <w:br w:type="page"/>
      </w:r>
    </w:p>
    <w:p>
      <w:pPr>
        <w:pStyle w:val="TextBody"/>
        <w:bidi w:val="0"/>
        <w:spacing w:before="240" w:after="240"/>
        <w:jc w:val="left"/>
        <w:rPr/>
      </w:pPr>
      <w:r>
        <w:rPr/>
        <w:t> </w:t>
      </w:r>
    </w:p>
    <w:p>
      <w:pPr>
        <w:pStyle w:val="TextBody"/>
        <w:bidi w:val="0"/>
        <w:spacing w:before="240" w:after="240"/>
        <w:jc w:val="right"/>
        <w:rPr>
          <w:rFonts w:ascii="Avenir Next LT Pro;sans-serif" w:hAnsi="Avenir Next LT Pro;sans-serif"/>
          <w:color w:val="4D4D50"/>
          <w:sz w:val="24"/>
        </w:rPr>
      </w:pPr>
      <w:r>
        <w:rPr>
          <w:rFonts w:ascii="Avenir Next LT Pro;sans-serif" w:hAnsi="Avenir Next LT Pro;sans-serif"/>
          <w:color w:val="4D4D50"/>
          <w:sz w:val="24"/>
        </w:rPr>
        <w:t>Exhibit 10.43</w:t>
      </w:r>
    </w:p>
    <w:p>
      <w:pPr>
        <w:pStyle w:val="TextBody"/>
        <w:bidi w:val="0"/>
        <w:spacing w:before="360" w:after="240"/>
        <w:jc w:val="center"/>
        <w:rPr>
          <w:rFonts w:ascii="Times New Roman" w:hAnsi="Times New Roman"/>
          <w:color w:val="000000"/>
          <w:sz w:val="24"/>
        </w:rPr>
      </w:pPr>
      <w:r>
        <w:rPr>
          <w:rFonts w:ascii="Times New Roman" w:hAnsi="Times New Roman"/>
          <w:color w:val="000000"/>
          <w:sz w:val="24"/>
        </w:rPr>
        <w:t>TRANSMEDICS, INC.</w:t>
      </w:r>
    </w:p>
    <w:p>
      <w:pPr>
        <w:pStyle w:val="TextBody"/>
        <w:bidi w:val="0"/>
        <w:spacing w:before="240" w:after="240"/>
        <w:jc w:val="center"/>
        <w:rPr>
          <w:rFonts w:ascii="Times New Roman" w:hAnsi="Times New Roman"/>
          <w:sz w:val="20"/>
        </w:rPr>
      </w:pPr>
      <w:r>
        <w:rPr>
          <w:rFonts w:ascii="Times New Roman" w:hAnsi="Times New Roman"/>
          <w:color w:val="000000"/>
          <w:sz w:val="24"/>
          <w:u w:val="single"/>
        </w:rPr>
        <w:t>Executive Retention Agreement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THIS EXECUTIVE RETENTION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by and between TransMedics,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olor w:val="000000"/>
          <w:sz w:val="24"/>
        </w:rPr>
        <w:t>Gerardo P. Hernandez Omana</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color w:val="000000"/>
          <w:sz w:val="24"/>
          <w:u w:val="single"/>
        </w:rPr>
        <w:t>Executive</w:t>
      </w:r>
      <w:r>
        <w:rPr>
          <w:rFonts w:ascii="Times New Roman" w:hAnsi="Times New Roman"/>
          <w:color w:val="000000"/>
          <w:sz w:val="20"/>
        </w:rPr>
        <w:t>”</w:t>
      </w:r>
      <w:r>
        <w:rPr>
          <w:rFonts w:ascii="Times New Roman" w:hAnsi="Times New Roman"/>
          <w:color w:val="000000"/>
          <w:sz w:val="24"/>
        </w:rPr>
        <w:t>) is made as of November 26, 2024 and effective as of the date the Executive begins employment with the Company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WHEREAS, the Board of Directors of the Company (the “</w:t>
      </w:r>
      <w:r>
        <w:rPr>
          <w:rFonts w:ascii="Times New Roman" w:hAnsi="Times New Roman"/>
          <w:color w:val="000000"/>
          <w:sz w:val="24"/>
          <w:u w:val="single"/>
        </w:rPr>
        <w:t>Board</w:t>
      </w:r>
      <w:r>
        <w:rPr>
          <w:rFonts w:ascii="Times New Roman" w:hAnsi="Times New Roman"/>
          <w:color w:val="000000"/>
          <w:sz w:val="20"/>
        </w:rPr>
        <w:t>”</w:t>
      </w:r>
      <w:r>
        <w:rPr>
          <w:rFonts w:ascii="Times New Roman" w:hAnsi="Times New Roman"/>
          <w:color w:val="000000"/>
          <w:sz w:val="24"/>
        </w:rPr>
        <w:t>) has determined that appropriate steps should be taken to reinforce and encourage the employment and dedication of the Company’s key personnel; and</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WHEREAS, the Board has identified the Executive as one of the Company’s key personnel.</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NOW, THEREFORE, as an inducement for and in consideration of the Executive commencing employment and remaining in the Company’s employ, the Company agrees that the Executive shall receive the severance benefits set forth in this Agreement in the event the Executive’s employment with the Company is terminated under the circumstances described below.</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Key Definitions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As used herein, the following terms shall have the following respective meanings:</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1.1 “</w:t>
      </w:r>
      <w:r>
        <w:rPr>
          <w:rFonts w:ascii="Times New Roman" w:hAnsi="Times New Roman"/>
          <w:color w:val="000000"/>
          <w:sz w:val="24"/>
          <w:u w:val="single"/>
        </w:rPr>
        <w:t>Change in Control</w:t>
      </w:r>
      <w:r>
        <w:rPr>
          <w:rFonts w:ascii="Times New Roman" w:hAnsi="Times New Roman"/>
          <w:color w:val="000000"/>
          <w:sz w:val="20"/>
        </w:rPr>
        <w:t xml:space="preserve">” </w:t>
      </w:r>
      <w:r>
        <w:rPr>
          <w:rFonts w:ascii="Times New Roman" w:hAnsi="Times New Roman"/>
          <w:color w:val="000000"/>
          <w:sz w:val="24"/>
        </w:rPr>
        <w:t>means an event or occurrence set forth in any one or more of subsections (a) through (d) below (including an event or occurrence that constitutes a Change in Control under one of such subsections but is specifically exempted from another such subsection) that is (i) a change in the ownership Company (as defined in Treasury Regulation Section 1.409A-3(i)(5)(v)), (ii) a change in the effective control of the Company (as defined in Treasury Regulation Section 1.409A-3(i)(5)(vi)), or (iii) a change in the ownership of a substantial portion of the assets of the Company (as defined in Treasury Regulation Section 1.409A-3(i)(5)(vii)):</w:t>
      </w:r>
    </w:p>
    <w:p>
      <w:pPr>
        <w:pStyle w:val="TextBody"/>
        <w:bidi w:val="0"/>
        <w:spacing w:before="240" w:after="240"/>
        <w:jc w:val="both"/>
        <w:rPr>
          <w:rFonts w:ascii="Times New Roman" w:hAnsi="Times New Roman"/>
          <w:sz w:val="20"/>
        </w:rPr>
      </w:pPr>
      <w:r>
        <w:rPr>
          <w:rFonts w:ascii="Times New Roman" w:hAnsi="Times New Roman"/>
          <w:color w:val="000000"/>
          <w:sz w:val="24"/>
        </w:rPr>
        <w:t>(a) the acquisition by an individual, entity or group (within the meaning of Section 13(d)(3) or 14(d)(2) of the Securities Exchange Act of 1934, as amended (the “</w:t>
      </w:r>
      <w:r>
        <w:rPr>
          <w:rFonts w:ascii="Times New Roman" w:hAnsi="Times New Roman"/>
          <w:color w:val="000000"/>
          <w:sz w:val="24"/>
          <w:u w:val="single"/>
        </w:rPr>
        <w:t>Exchange Act</w:t>
      </w:r>
      <w:r>
        <w:rPr>
          <w:rFonts w:ascii="Times New Roman" w:hAnsi="Times New Roman"/>
          <w:color w:val="000000"/>
          <w:sz w:val="20"/>
        </w:rPr>
        <w:t>”</w:t>
      </w:r>
      <w:r>
        <w:rPr>
          <w:rFonts w:ascii="Times New Roman" w:hAnsi="Times New Roman"/>
          <w:color w:val="000000"/>
          <w:sz w:val="24"/>
        </w:rPr>
        <w:t>)) (a “</w:t>
      </w:r>
      <w:r>
        <w:rPr>
          <w:rFonts w:ascii="Times New Roman" w:hAnsi="Times New Roman"/>
          <w:color w:val="000000"/>
          <w:sz w:val="24"/>
          <w:u w:val="single"/>
        </w:rPr>
        <w:t>Person</w:t>
      </w:r>
      <w:r>
        <w:rPr>
          <w:rFonts w:ascii="Times New Roman" w:hAnsi="Times New Roman"/>
          <w:color w:val="000000"/>
          <w:sz w:val="20"/>
        </w:rPr>
        <w:t>”</w:t>
      </w:r>
      <w:r>
        <w:rPr>
          <w:rFonts w:ascii="Times New Roman" w:hAnsi="Times New Roman"/>
          <w:color w:val="000000"/>
          <w:sz w:val="24"/>
        </w:rPr>
        <w:t>) of beneficial ownership of any capital stock of the Company if, after such acquisition, such Person beneficially owns (within the meaning of Rule 13d-3 promulgated under the Exchange Act) 50% or more of either (x) the then outstanding shares of common stock of the Company (the “</w:t>
      </w:r>
      <w:r>
        <w:rPr>
          <w:rFonts w:ascii="Times New Roman" w:hAnsi="Times New Roman"/>
          <w:color w:val="000000"/>
          <w:sz w:val="24"/>
          <w:u w:val="single"/>
        </w:rPr>
        <w:t>Outstanding Company Common Stock</w:t>
      </w:r>
      <w:r>
        <w:rPr>
          <w:rFonts w:ascii="Times New Roman" w:hAnsi="Times New Roman"/>
          <w:color w:val="000000"/>
          <w:sz w:val="20"/>
        </w:rPr>
        <w:t>”</w:t>
      </w:r>
      <w:r>
        <w:rPr>
          <w:rFonts w:ascii="Times New Roman" w:hAnsi="Times New Roman"/>
          <w:color w:val="000000"/>
          <w:sz w:val="24"/>
        </w:rPr>
        <w:t>) or (y) the combined voting power of the then outstanding securities of the Company entitled to vote generally in the election of directors (the “</w:t>
      </w:r>
      <w:r>
        <w:rPr>
          <w:rFonts w:ascii="Times New Roman" w:hAnsi="Times New Roman"/>
          <w:color w:val="000000"/>
          <w:sz w:val="24"/>
          <w:u w:val="single"/>
        </w:rPr>
        <w:t>Outstanding Company Voting Securities</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for purposes of this subsection (a), the following acquisitions shall not constitute a Change in Control: (i) any acquisition directly from the Company (excluding an acquisition pursuant to the exercise, conversion or exchange of any security exercisable for, convertible into or exchangeable for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common stock or voting securities of the Company, unless the Person exercising, converting or exchanging such security acquired such security directly from the Company or an underwriter or agent of the Company), or (ii) any acquisition by any corporation pursuant to a transaction which complies with clauses (i) and (ii) of subsection (c) of this Section 1.1; or</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(b) such time as the Continuing Directors (as defined below) do not constitute a majority of the Board (or, if applicable, the Board of Directors of a successor corporation to the Company), where the term “Continuing Director” means at any date a member of the Board (i) who was a member of the Board on the date of the execution of this Agreement or (ii)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there shall be excluded from this clause (ii)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(c) the consummation of a merger, consolidation, reorganization, recapitalization or statutory share exchange involving the Company or a sale or other disposition of all or substantially all of the assets of the Company in one or a series of transactions (a “</w:t>
      </w:r>
      <w:r>
        <w:rPr>
          <w:rFonts w:ascii="Times New Roman" w:hAnsi="Times New Roman"/>
          <w:color w:val="000000"/>
          <w:sz w:val="24"/>
          <w:u w:val="single"/>
        </w:rPr>
        <w:t>Business Combination</w:t>
      </w:r>
      <w:r>
        <w:rPr>
          <w:rFonts w:ascii="Times New Roman" w:hAnsi="Times New Roman"/>
          <w:color w:val="000000"/>
          <w:sz w:val="20"/>
        </w:rPr>
        <w:t>”</w:t>
      </w:r>
      <w:r>
        <w:rPr>
          <w:rFonts w:ascii="Times New Roman" w:hAnsi="Times New Roman"/>
          <w:color w:val="000000"/>
          <w:sz w:val="24"/>
        </w:rPr>
        <w:t>), unless, immediately following such Business Combination, each of the following two conditions is satisfied: (i)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 outstanding shares of common stock and the combined voting power of the then 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acquiring corporation is referred to herein as the “</w:t>
      </w:r>
      <w:r>
        <w:rPr>
          <w:rFonts w:ascii="Times New Roman" w:hAnsi="Times New Roman"/>
          <w:color w:val="000000"/>
          <w:sz w:val="24"/>
          <w:u w:val="single"/>
        </w:rPr>
        <w:t>Acquiring Corporation</w:t>
      </w:r>
      <w:r>
        <w:rPr>
          <w:rFonts w:ascii="Times New Roman" w:hAnsi="Times New Roman"/>
          <w:color w:val="000000"/>
          <w:sz w:val="20"/>
        </w:rPr>
        <w:t>”</w:t>
      </w:r>
      <w:r>
        <w:rPr>
          <w:rFonts w:ascii="Times New Roman" w:hAnsi="Times New Roman"/>
          <w:color w:val="000000"/>
          <w:sz w:val="24"/>
        </w:rPr>
        <w:t>) in substantially the same proportions as their ownership, immediately prior to such Business Combination, of the Outstanding Company Common Stock and Outstanding Company Voting Securities, respectively; and (ii) no Person (excluding any employee benefit plan (or related trust) maintained or sponsored by the Company or by the Acquiring Corporation) beneficially owns, directly or indirectly, 50% or more of the then outstanding shares of common stock of the Acquiring Corporation, or of the combined voting power of the then outstanding securities of such corporation entitled to vote generally in the election of directors (except to the extent that such ownership existed prior to the Business Combination); or</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(d) the liquidation or dissolution of the Company.</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1.2 “</w:t>
      </w:r>
      <w:r>
        <w:rPr>
          <w:rFonts w:ascii="Times New Roman" w:hAnsi="Times New Roman"/>
          <w:color w:val="000000"/>
          <w:sz w:val="24"/>
          <w:u w:val="single"/>
        </w:rPr>
        <w:t>Change in Control Date</w:t>
      </w:r>
      <w:r>
        <w:rPr>
          <w:rFonts w:ascii="Times New Roman" w:hAnsi="Times New Roman"/>
          <w:color w:val="000000"/>
          <w:sz w:val="20"/>
        </w:rPr>
        <w:t xml:space="preserve">” </w:t>
      </w:r>
      <w:r>
        <w:rPr>
          <w:rFonts w:ascii="Times New Roman" w:hAnsi="Times New Roman"/>
          <w:color w:val="000000"/>
          <w:sz w:val="24"/>
        </w:rPr>
        <w:t>means the first date during the Term (as defined in Section 2) on which a Change in Control occurs. Anything in this Agreement to the contrary notwithstanding, if (a) a Change in Control occurs, (b) the Executive’s employment with the Company is terminated prior to the date on which the Change in Control occurs, and (c) it is reasonably demonstrated by the Executive that</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such termination of employment (i) was at the request of a third party who has taken steps reasonably calculated to effect a Change in Control or (ii) otherwise arose in connection with or in anticipation of a Change in Control, then for all purposes of this Agreement the “Change in Control Date” shall mean the date immediately prior to the date of such termination of employment.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1.3 “</w:t>
      </w:r>
      <w:r>
        <w:rPr>
          <w:rFonts w:ascii="Times New Roman" w:hAnsi="Times New Roman"/>
          <w:color w:val="000000"/>
          <w:sz w:val="24"/>
          <w:u w:val="single"/>
        </w:rPr>
        <w:t>Cause</w:t>
      </w:r>
      <w:r>
        <w:rPr>
          <w:rFonts w:ascii="Times New Roman" w:hAnsi="Times New Roman"/>
          <w:color w:val="000000"/>
          <w:sz w:val="20"/>
        </w:rPr>
        <w:t xml:space="preserve">” </w:t>
      </w:r>
      <w:r>
        <w:rPr>
          <w:rFonts w:ascii="Times New Roman" w:hAnsi="Times New Roman"/>
          <w:color w:val="000000"/>
          <w:sz w:val="24"/>
        </w:rPr>
        <w:t xml:space="preserve">means willful misconduct by the Executive or willful failure (which failure is not cured within 30 days of written notice to the Executive from the Company) by the Executive to perform the Executive’s responsibilities to the Company (including, without limitation, breach by the Executive of any provision of any employment, consulting, advisory, nondisclosure, non-competition or other similar agreement between the Executive and the Company), as determined by the Company;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following the Change in Control Date, Cause means (a) willful failure by the Executive, which failure is not cured within 30 days of written notice to the Executive from the Company, to perform the Executive’s material responsibilities to the Company or (b) willful misconduct by the Executive which affects the business reputation of the Company.</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1.4 “</w:t>
      </w:r>
      <w:r>
        <w:rPr>
          <w:rFonts w:ascii="Times New Roman" w:hAnsi="Times New Roman"/>
          <w:color w:val="000000"/>
          <w:sz w:val="24"/>
          <w:u w:val="single"/>
        </w:rPr>
        <w:t>Date of Termination</w:t>
      </w:r>
      <w:r>
        <w:rPr>
          <w:rFonts w:ascii="Times New Roman" w:hAnsi="Times New Roman"/>
          <w:color w:val="000000"/>
          <w:sz w:val="20"/>
        </w:rPr>
        <w:t xml:space="preserve">” </w:t>
      </w:r>
      <w:r>
        <w:rPr>
          <w:rFonts w:ascii="Times New Roman" w:hAnsi="Times New Roman"/>
          <w:color w:val="000000"/>
          <w:sz w:val="24"/>
        </w:rPr>
        <w:t>means the effective date of an employment termination, as further described in Section 3.2.</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1.5 “</w:t>
      </w:r>
      <w:r>
        <w:rPr>
          <w:rFonts w:ascii="Times New Roman" w:hAnsi="Times New Roman"/>
          <w:color w:val="000000"/>
          <w:sz w:val="24"/>
          <w:u w:val="single"/>
        </w:rPr>
        <w:t>Disability</w:t>
      </w:r>
      <w:r>
        <w:rPr>
          <w:rFonts w:ascii="Times New Roman" w:hAnsi="Times New Roman"/>
          <w:color w:val="000000"/>
          <w:sz w:val="20"/>
        </w:rPr>
        <w:t xml:space="preserve">” </w:t>
      </w:r>
      <w:r>
        <w:rPr>
          <w:rFonts w:ascii="Times New Roman" w:hAnsi="Times New Roman"/>
          <w:color w:val="000000"/>
          <w:sz w:val="24"/>
        </w:rPr>
        <w:t>means the Executive’s absence from the full-time performance of the Executive’s duties with the Company for 180 consecutive calendar days as a result of incapacity due to mental or physical illness which is determined to be total and permanent by a physician selected by the Company or its insurers and acceptable to the Executive or the Executive’s legal representative.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1.6 “</w:t>
      </w:r>
      <w:r>
        <w:rPr>
          <w:rFonts w:ascii="Times New Roman" w:hAnsi="Times New Roman"/>
          <w:color w:val="000000"/>
          <w:sz w:val="24"/>
          <w:u w:val="single"/>
        </w:rPr>
        <w:t>Good Reason</w:t>
      </w:r>
      <w:r>
        <w:rPr>
          <w:rFonts w:ascii="Times New Roman" w:hAnsi="Times New Roman"/>
          <w:color w:val="000000"/>
          <w:sz w:val="20"/>
        </w:rPr>
        <w:t xml:space="preserve">” </w:t>
      </w:r>
      <w:r>
        <w:rPr>
          <w:rFonts w:ascii="Times New Roman" w:hAnsi="Times New Roman"/>
          <w:color w:val="000000"/>
          <w:sz w:val="24"/>
        </w:rPr>
        <w:t>means the occurrence, without the Executive’s written consent, of any of the events or circumstances set forth in clauses (a) through (e) below. Notwithstanding the occurrence of any such event or circumstance, such occurrence shall not be deemed to constitute Good Reason unless: (i) the Executive has given written notice to the Company of the Executive’s intention to terminate the Executive’s employment for Good Reason, describing the grounds for such action, no later than 90 days after the first occurrence of such circumstances, (ii) the Executive has provided the Company with at least 30 days in which to cure the circumstances, and (iii) if the Company is not successful in curing the event or circumstance, the Executive ends the Executive’s employment within 30 days following the end of the cure period after giving not less than 15 days’ advance notice. Moreover, if such event or circumstance has been fully corrected within the cure period, such event or circumstance may not be used by the Executive at any time thereafter as basis for establishing Good Reason.</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(a) a material adverse change by the Company in the Executive’s duties, authority or responsibilities in effect immediately prior to the earliest to occur of (i) the Change in Control Date, (ii) the date of the execution by the Company of the initial written agreement or instrument providing for the Change in Control or (iii) the date of the adoption by the Board of a resolution providing for the Change in Control (with the earliest to occur of such dates referred to herein as the “</w:t>
      </w:r>
      <w:r>
        <w:rPr>
          <w:rFonts w:ascii="Times New Roman" w:hAnsi="Times New Roman"/>
          <w:color w:val="000000"/>
          <w:sz w:val="24"/>
          <w:u w:val="single"/>
        </w:rPr>
        <w:t>Measurement Date</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a “material adverse change” following a Change in Control shall not include any diminution in authority, duties or responsibilities that is solely attributable to the change in the Company’s ownership structure but does not otherwise change the Executive’s authority, duties or responsibilities (except in a positive manner) otherwise with respect to the Company’s business;</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(b) a material reduction in the Executive’s base compensation as in effect on the Measurement Date or as the same was or may be increased thereafter from time to time;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(c) a material change by the Company in the location at which the Executive performs the Executive’s principal duties for the Company to a new location that is more than 50 miles from the location at which the Executive performed the Executive’s principal duties for the Company immediately prior to the Measurement Date;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(d) the failure of the Company to obtain the agreement from any successor to the Company to assume and agree to perform this Agreement, as required by Section 6.1; or</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(e) any material breach by the Company of this Agreement or any employment agreement with the Executive.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Term of Agreement</w:t>
      </w:r>
      <w:r>
        <w:rPr>
          <w:rFonts w:ascii="Times New Roman" w:hAnsi="Times New Roman"/>
          <w:color w:val="000000"/>
          <w:sz w:val="24"/>
        </w:rPr>
        <w:t>. This Agreement, and all rights and obligations of the parties hereunder, shall take effect upon the Effective Date and shall expire upon the first to occur of (a) if neither a termination of the Executive’s employment with the Company described in Section 4.1(a) below nor a Change in Control has occurred during the Term (as defined below), the expiration of the Term, (b) if a termination of the Executive’s employment with the Company described in Section 4.1(a) below occurs during the Term or within twenty-four (24) months following a Change in Control, the fulfillment by the Company of all of its obligations under Sections 4 and 5.2 and 5.3 or (c) if a Change in Control occurs prior to expiration of the Term (as defined below), the later of (i) the date twenty-four (24) months after the Change in Control Date and (ii) if the Executive’s employment with the Company terminates within twenty-four (24) months following the Change in Control Date, the fulfillment by the Company of all of its obligations under Sections 4 and 5.2 and 5.3. ‘</w:t>
      </w:r>
      <w:r>
        <w:rPr>
          <w:rFonts w:ascii="Times New Roman" w:hAnsi="Times New Roman"/>
          <w:color w:val="000000"/>
          <w:sz w:val="24"/>
          <w:u w:val="single"/>
        </w:rPr>
        <w:t>Term</w:t>
      </w:r>
      <w:r>
        <w:rPr>
          <w:rFonts w:ascii="Times New Roman" w:hAnsi="Times New Roman"/>
          <w:color w:val="000000"/>
          <w:sz w:val="20"/>
        </w:rPr>
        <w:t xml:space="preserve">’ </w:t>
      </w:r>
      <w:r>
        <w:rPr>
          <w:rFonts w:ascii="Times New Roman" w:hAnsi="Times New Roman"/>
          <w:color w:val="000000"/>
          <w:sz w:val="24"/>
        </w:rPr>
        <w:t xml:space="preserve">shall mean the period commencing as of the Effective Date and continuing in effect through December 31, 2025;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commencing on January 1, 2026 and each January 1 thereafter, the Term shall be automatically extended for one additional year.</w:t>
      </w:r>
    </w:p>
    <w:p>
      <w:pPr>
        <w:pStyle w:val="TextBody"/>
        <w:bidi w:val="0"/>
        <w:spacing w:before="240" w:after="240"/>
        <w:jc w:val="left"/>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Employment Status; Termination of Employment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3.1 </w:t>
      </w:r>
      <w:r>
        <w:rPr>
          <w:rFonts w:ascii="Times New Roman" w:hAnsi="Times New Roman"/>
          <w:color w:val="000000"/>
          <w:sz w:val="24"/>
          <w:u w:val="single"/>
        </w:rPr>
        <w:t>Not an Employment Contract</w:t>
      </w:r>
      <w:r>
        <w:rPr>
          <w:rFonts w:ascii="Times New Roman" w:hAnsi="Times New Roman"/>
          <w:color w:val="000000"/>
          <w:sz w:val="24"/>
        </w:rPr>
        <w:t>. The Executive acknowledges that this Agreement does not constitute a contract of employment or impose on the Company any obligation to retain the Executive as an employee and that this Agreement does not prevent the Executive from terminating employment at any time. If the Executive’s employment with the Company terminates for any reason and subsequently a Change in Control shall occur, the Executive shall not be entitled to any benefits hereunder except as otherwise provided pursuant to Section 1.2 and Section 4.2.</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3.2 </w:t>
      </w:r>
      <w:r>
        <w:rPr>
          <w:rFonts w:ascii="Times New Roman" w:hAnsi="Times New Roman"/>
          <w:color w:val="000000"/>
          <w:sz w:val="24"/>
          <w:u w:val="single"/>
        </w:rPr>
        <w:t>Termination of Employment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(a) If the Change in Control Date occurs during the Term, any termination of the Executive’s employment by the Company or by the Executive within twenty-four (24) months following the Change in Control Date (other than due to the death of the Executive) shall be communicated by a written notice to the other party hereto (the “</w:t>
      </w:r>
      <w:r>
        <w:rPr>
          <w:rFonts w:ascii="Times New Roman" w:hAnsi="Times New Roman"/>
          <w:color w:val="000000"/>
          <w:sz w:val="24"/>
          <w:u w:val="single"/>
        </w:rPr>
        <w:t>Notice of Termination</w:t>
      </w:r>
      <w:r>
        <w:rPr>
          <w:rFonts w:ascii="Times New Roman" w:hAnsi="Times New Roman"/>
          <w:color w:val="000000"/>
          <w:sz w:val="20"/>
        </w:rPr>
        <w:t>”</w:t>
      </w:r>
      <w:r>
        <w:rPr>
          <w:rFonts w:ascii="Times New Roman" w:hAnsi="Times New Roman"/>
          <w:color w:val="000000"/>
          <w:sz w:val="24"/>
        </w:rPr>
        <w:t>), given in accordance with Section 7. Following the Change in Control Date, any Notice of Termination shall: (i) indicate the specific termination provision (if any) of this Agreement relied upon by the</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party giving such notice, (ii) to the extent applicable, set forth in reasonable detail the facts and circumstances claimed to provide a basis for termination of the Executive’s employment under the provision so indicated and (iii) specify the Date of Termination. Following the Change in Control Date, the Date of Termination shall be the close of business on the date specified in the Notice of Termination (which date may not be less than 15 days or more than 120 days after the date of delivery of such Notice of Termination), in the case of a termination other than one due to the Executive’s death, or the date of the Executive’s death, as the case may be. In the event the Company fails to satisfy the requirements of Section 3.2(a) regarding a Notice of Termination, following the Change in Control Date, the purported termination of the Executive’s employment pursuant to such Notice of Termination shall not be effective for purposes of this Agreement.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(b) 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any such fact or circumstance in enforcing the Executive’s or the Company’s rights hereunder;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any fact or circumstance which contributes to a showing of Good Reason must be asserted within 90 days of its first occurring and the Company shall have at least 30 days in which to cure such fact or circumstance consistent with the terms of Section 1.6 above.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(c) Following the Change in Control Date, any Notice of Termination for Cause given by the Company must be given within 90 days of the occurrence of the event(s) or circumstance(s) which constitute(s) Cause. Prior to any Notice of Termination for Cause being given (and prior to any termination for Cause being effective) after the Change in Control Date, the Executive shall be entitled to a hearing before the Board at which the Executive may, at the Executive’s election, be represented by counsel and at which he shall have a reasonable opportunity to be heard. Such hearing shall be held on not less than 15 days prior written notice to the Executive stating the Board’s intention to terminate the Executive for Cause and stating in detail the particular event(s) or circumstance(s) which the Board believes constitutes Cause for termination.</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(d) Any Notice of Termination for Good Reason given by the Executive, whether prior to or following the Change in Control Date, must be given consistent with Section 1.6 above.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Benefits to Executive upon Termination</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4.1 </w:t>
      </w:r>
      <w:r>
        <w:rPr>
          <w:rFonts w:ascii="Times New Roman" w:hAnsi="Times New Roman"/>
          <w:color w:val="000000"/>
          <w:sz w:val="24"/>
          <w:u w:val="single"/>
        </w:rPr>
        <w:t>Termination of Employment without Cause or for Good Reason and prior to Change in Control</w:t>
      </w:r>
      <w:r>
        <w:rPr>
          <w:rFonts w:ascii="Times New Roman" w:hAnsi="Times New Roman"/>
          <w:color w:val="000000"/>
          <w:sz w:val="24"/>
        </w:rPr>
        <w:t>. If, during the Term and prior to the occurrence of a Change in Control, but after the twelve (12)-month anniversary of the Effective Date, the Executive’s employment with the Company is terminated by the Company (other than for Cause, Disability or death) or by the Executive for Good Reason, then:</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(a) on the Date of Termination, the Company shall pay to the Executive, in a lump sum in cash, the sum of (i) the Executive’s base salary earned but unpaid as of the Date of Termination, (ii) the amount of any compensation previously deferred by the Executive (together with any accrued interest or earnings thereon), provided that such payment of deferred</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compensation is consistent with any elections the Executive may have made with respect thereto, (iii) any accrued but unpaid vacation pay, in each case to the extent not previously paid (the sum of the amounts described in clauses (i), (ii) and (iii) shall be hereinafter referred to as the “</w:t>
      </w:r>
      <w:r>
        <w:rPr>
          <w:rFonts w:ascii="Times New Roman" w:hAnsi="Times New Roman"/>
          <w:color w:val="000000"/>
          <w:sz w:val="24"/>
          <w:u w:val="single"/>
        </w:rPr>
        <w:t>Accrued Obligations</w:t>
      </w:r>
      <w:r>
        <w:rPr>
          <w:rFonts w:ascii="Times New Roman" w:hAnsi="Times New Roman"/>
          <w:color w:val="000000"/>
          <w:sz w:val="20"/>
        </w:rPr>
        <w:t>”</w:t>
      </w:r>
      <w:r>
        <w:rPr>
          <w:rFonts w:ascii="Times New Roman" w:hAnsi="Times New Roman"/>
          <w:color w:val="000000"/>
          <w:sz w:val="24"/>
        </w:rPr>
        <w:t>) and at the same time that annual bonuses are paid to active executives, the Company shall pay to the Executive, in a lump sum in cash, any annual bonus relating to the fiscal year prior to such termination to the extent earned based on performance (the “</w:t>
      </w:r>
      <w:r>
        <w:rPr>
          <w:rFonts w:ascii="Times New Roman" w:hAnsi="Times New Roman"/>
          <w:color w:val="000000"/>
          <w:sz w:val="24"/>
          <w:u w:val="single"/>
        </w:rPr>
        <w:t>Prior Year’s Bonus</w:t>
      </w:r>
      <w:r>
        <w:rPr>
          <w:rFonts w:ascii="Times New Roman" w:hAnsi="Times New Roman"/>
          <w:color w:val="000000"/>
          <w:sz w:val="20"/>
        </w:rPr>
        <w:t>”</w:t>
      </w:r>
      <w:r>
        <w:rPr>
          <w:rFonts w:ascii="Times New Roman" w:hAnsi="Times New Roman"/>
          <w:color w:val="000000"/>
          <w:sz w:val="24"/>
        </w:rPr>
        <w:t>); and</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(b) provided that Executive executes and does not revoke the release consistent with Section 4.7 below, the Company shall:</w:t>
      </w:r>
    </w:p>
    <w:p>
      <w:pPr>
        <w:pStyle w:val="TextBody"/>
        <w:bidi w:val="0"/>
        <w:spacing w:before="240" w:after="240"/>
        <w:jc w:val="both"/>
        <w:rPr>
          <w:rFonts w:ascii="Times New Roman" w:hAnsi="Times New Roman"/>
          <w:sz w:val="20"/>
        </w:rPr>
      </w:pPr>
      <w:r>
        <w:rPr>
          <w:rFonts w:ascii="Times New Roman" w:hAnsi="Times New Roman"/>
          <w:color w:val="000000"/>
          <w:sz w:val="24"/>
        </w:rPr>
        <w:t>(i) pay to the Executive, in twelve (12) monthly installments beginning in the first payroll period following the Release Effective Date (as defined in Section 4.7), the amount equal to the sum of (A) the Executive’s highest annual base salary during the three-year period prior to the Date of Termination and (B) the Executive’s highest annual bonus during the three-year period prior to the Date of Termination, reduced by any amounts payable to the Executive under any non-competition or similar agreement with respect to the same period; and</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(ii) pay to the Executive an amount equal to the product of (A) the annual bonus paid or payable (including any bonus or portion thereof which has been earned but deferred) to the Executive for the most recently completed fiscal year and (B) a fraction, the numerator of which is the number of days in the current fiscal year through the Date of Termination, and the denominator of which is 365, payable at same time annual bonuses are payable to active employees (but in all events prior to two and one-half months following the end of the year to which the bonus relates).</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(ii) for a period of twelve (12) months following the Release Effective Date, to the extent permitted by applicable non-discrimination rules, continue to provide group health insurance coverage to the Executive and the Executive’s family at least equal to those which would have been provided to them if the Executive employment had not been terminated, in accordance with the applicable plan in effect on the Date of Termination or, if more favorable to the Executive and the Executive’s family, in effect generally at any time thereafter with respect to other similarly-situated executives of the Company and its affiliated companies, pursuant to the federal COBRA law;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if the Executive becomes reemployed with another employer and is eligible to receive group health insurance from such employer on terms at least as favorable to the Executive and the Executive’s family as those being provided by the Company, then the Company shall no longer be required to provide such coverage to the Executive and the Executive’s family.</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If, during the Term but prior to both the twelve (12)-month anniversary of the Effective Date and the occurrence of a Change in Control, the Executive’s employment with the Company is terminated by the Company (other than for Cause, Disability or death) or by the Executive for Good Reason, then on the Date of Termination, in lieu of the amounts set forth above, the Company shall pay to the Executive, in a lump sum in cash, the Accrued Obligations and shall pay the Prior Year’s Bonus when annual bonuses</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are paid to executives generally and, provided that Executive executes and does not revoke the release consistent with Section 4.7 below, the Company shall continue to pay the Executive’s base salary for six (6) months following the Date of Termination, in six (6) monthly installments beginning in the first payroll period following the Release Effective Date (as defined in Section 4.7).</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4.2 </w:t>
      </w:r>
      <w:r>
        <w:rPr>
          <w:rFonts w:ascii="Times New Roman" w:hAnsi="Times New Roman"/>
          <w:color w:val="000000"/>
          <w:sz w:val="24"/>
          <w:u w:val="single"/>
        </w:rPr>
        <w:t>Termination of Employment without Cause or for Good Reason following Change in Control</w:t>
      </w:r>
      <w:r>
        <w:rPr>
          <w:rFonts w:ascii="Times New Roman" w:hAnsi="Times New Roman"/>
          <w:color w:val="000000"/>
          <w:sz w:val="24"/>
        </w:rPr>
        <w:t>. If the Executive’s employment with the Company is terminated by the Company (other than for Cause, Disability or death) or by the Executive for Good Reason within twenty-four (24) months following the Change in Control Date, then:</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(a) the Company shall pay to the Executive the Accrued Obligations, which shall be paid in one lump sum in cash on the Date of Termination, and the Prior Year’s Bonus, which shall be paid in a lump sum in cash when annual bonuses are paid to executives generally; and</w:t>
      </w:r>
    </w:p>
    <w:p>
      <w:pPr>
        <w:pStyle w:val="TextBody"/>
        <w:bidi w:val="0"/>
        <w:spacing w:before="240" w:after="240"/>
        <w:jc w:val="both"/>
        <w:rPr>
          <w:rFonts w:ascii="Times New Roman" w:hAnsi="Times New Roman"/>
          <w:sz w:val="20"/>
        </w:rPr>
      </w:pPr>
      <w:r>
        <w:rPr>
          <w:rFonts w:ascii="Times New Roman" w:hAnsi="Times New Roman"/>
          <w:color w:val="000000"/>
          <w:sz w:val="24"/>
        </w:rPr>
        <w:t>(b) provided the Executive executes and does not revoke the release consistent with Section 4.7 below, the Company shall:</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(i) pay the amount equal to the sum of (A) 1.5 multiplied by the Executive’s highest annual base salary during the three-year period prior to the Date of Termination, (B) the Executive’s highest annual bonus during the three-year period prior to the Date of Termination, and (C) the Executive’s target annual bonus for the year in which the Date of Termination occurs, which shall be paid in one lump sum within 10 days after the Release Effective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the Date of Termination precedes the closing of the Change in Control, then the foregoing amount shall be paid in accordance with the terms of Section 4.1(b)(i) until the closing date of the Change in Control and thereafter shall be paid out in accordance with this Section 4.2(b)(i);</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(ii) for eighteen (18) months following the Release Effective Date, to the extent permitted by applicable non-discrimination rules, continue to provide group health insurance coverage to the Executive and the Executive’s family at least equal to those which would have been provided to them if the Executive’s employment had not been terminated, in accordance with the applicable plan in effect on the Measurement Date or, if more favorable to the Executive and the Executive’s family, in effect generally at any time thereafter with respect to other similarly-situated executives of the Company and its affiliated companies, pursuant to the federal COBRA law;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if the Executive becomes reemployed with another employer and is eligible to receive group health insurance from such employer on terms at least as favorable to the Executive and the Executive’s family as those being provided by the Company, then the Company shall no longer be required to provide such coverage to The Executive and the Executive’s family; and</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(iii) each outstanding option to purchase shares of Common Stock of the Company and each other equity-based award, including without limitation, restricted stock units, held by the Executive shall vest in full (with any performance-based equity awards vesting at target levels) and, as applicable, become immediately exercisable in full.</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4.3 </w:t>
      </w:r>
      <w:r>
        <w:rPr>
          <w:rFonts w:ascii="Times New Roman" w:hAnsi="Times New Roman"/>
          <w:color w:val="000000"/>
          <w:sz w:val="24"/>
          <w:u w:val="single"/>
        </w:rPr>
        <w:t>Resignation without Good Reason following Change in Control; Termination for Death or Disability</w:t>
      </w:r>
      <w:r>
        <w:rPr>
          <w:rFonts w:ascii="Times New Roman" w:hAnsi="Times New Roman"/>
          <w:color w:val="000000"/>
          <w:sz w:val="24"/>
        </w:rPr>
        <w:t>. If the Executive voluntarily terminates the Executive’s employment with the Company within 24 months following the Change in Control Date, excluding a termination for Good Reason, or if the Executive’s employment with the Company is terminated by reason of the Executive’s death or Disability, then the Company shall pay the Executive (or the Executive’s estate, if applicable) the Accrued Obligations in a lump sum in cash on the first regular payroll after the Date of Termination.</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4.4 </w:t>
      </w:r>
      <w:r>
        <w:rPr>
          <w:rFonts w:ascii="Times New Roman" w:hAnsi="Times New Roman"/>
          <w:color w:val="000000"/>
          <w:sz w:val="24"/>
          <w:u w:val="single"/>
        </w:rPr>
        <w:t>Termination for Cause; Resignation without Good Reason prior to Change in Control; Termination without Cause or Resignation for Good Reason on or prior to the 12-month anniversary of the Effective Date and prior to Change in Control</w:t>
      </w:r>
      <w:r>
        <w:rPr>
          <w:rFonts w:ascii="Times New Roman" w:hAnsi="Times New Roman"/>
          <w:color w:val="000000"/>
          <w:sz w:val="24"/>
        </w:rPr>
        <w:t>. If the Company terminates the Executive’s employment with the Company for Cause or if the Executive voluntarily terminates the Executive’s employment with the Company without Good Reason, then the Company shall pay the Executive, in a lump sum in cash on the Date of Termination, the sum of (a) the Executive’s base salary earned through the Date of Termination, (b) the amount of any compensation previously deferred by the Executive, provided that such payment of deferred compensation is consistent with any elections the Executive may have made with respect thereto, and (c) any accrued but unpaid vacation pay, in each case to the extent not previously paid.</w:t>
      </w:r>
      <w:r>
        <w:rPr>
          <w:rFonts w:ascii="Times New Roman" w:hAnsi="Times New Roman"/>
          <w:color w:val="000000"/>
          <w:sz w:val="20"/>
        </w:rPr>
        <w:t xml:space="preserve"> </w:t>
      </w:r>
    </w:p>
    <w:p>
      <w:pPr>
        <w:pStyle w:val="TextBody"/>
        <w:bidi w:val="0"/>
        <w:spacing w:before="240" w:after="240"/>
        <w:jc w:val="both"/>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4.5 </w:t>
      </w:r>
      <w:r>
        <w:rPr>
          <w:rFonts w:ascii="Times New Roman" w:hAnsi="Times New Roman"/>
          <w:color w:val="000000"/>
          <w:sz w:val="24"/>
          <w:u w:val="single"/>
        </w:rPr>
        <w:t>Taxes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(a) Notwithstanding any other provision of this Agreement, except as set forth in Section 4.5(b), in the event that the Company undergoes a “</w:t>
      </w:r>
      <w:r>
        <w:rPr>
          <w:rFonts w:ascii="Times New Roman" w:hAnsi="Times New Roman"/>
          <w:color w:val="000000"/>
          <w:sz w:val="24"/>
          <w:u w:val="single"/>
        </w:rPr>
        <w:t>Change in Ownership or Control</w:t>
      </w:r>
      <w:r>
        <w:rPr>
          <w:rFonts w:ascii="Times New Roman" w:hAnsi="Times New Roman"/>
          <w:color w:val="000000"/>
          <w:sz w:val="20"/>
        </w:rPr>
        <w:t xml:space="preserve">” </w:t>
      </w:r>
      <w:r>
        <w:rPr>
          <w:rFonts w:ascii="Times New Roman" w:hAnsi="Times New Roman"/>
          <w:color w:val="000000"/>
          <w:sz w:val="24"/>
        </w:rPr>
        <w:t>(as defined below), the Company shall not be obligated to provide to the Executive a portion of any “Contingent Compensation Payments” (as defined below) that the Executive would otherwise be entitled to receive to the extent necessary to eliminate any “excess parachute payments” (as defined in Section 280G(b)(l) of the Internal Revenue Code of 1986, as amended (the “</w:t>
      </w:r>
      <w:r>
        <w:rPr>
          <w:rFonts w:ascii="Times New Roman" w:hAnsi="Times New Roman"/>
          <w:color w:val="000000"/>
          <w:sz w:val="24"/>
          <w:u w:val="single"/>
        </w:rPr>
        <w:t>Code</w:t>
      </w:r>
      <w:r>
        <w:rPr>
          <w:rFonts w:ascii="Times New Roman" w:hAnsi="Times New Roman"/>
          <w:color w:val="000000"/>
          <w:sz w:val="20"/>
        </w:rPr>
        <w:t>”</w:t>
      </w:r>
      <w:r>
        <w:rPr>
          <w:rFonts w:ascii="Times New Roman" w:hAnsi="Times New Roman"/>
          <w:color w:val="000000"/>
          <w:sz w:val="24"/>
        </w:rPr>
        <w:t>)) for the Executive. For purposes of this Section 4.5,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w:t>
      </w:r>
      <w:r>
        <w:rPr>
          <w:rFonts w:ascii="Times New Roman" w:hAnsi="Times New Roman"/>
          <w:color w:val="000000"/>
          <w:sz w:val="24"/>
          <w:u w:val="single"/>
        </w:rPr>
        <w:t>Eliminated Amount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(b) Notwithstanding the provisions of Section 4.5(a), no such reduction in Contingent Compensation Payments shall be made if (i) the Eliminated Amount (computed without regard to this sentence) exceeds (ii) the aggregate present value (determined in accordance with Treasury Regulation Section 1.280G-1, Q/A-31 and Q/A-32 or any successor provisions) of the amount of any additional taxes that would be incurred by the Executive if the Eliminated Payments (determined without regard to this sentence) were paid to the Executive (including, state and federal income taxes on the Eliminated Payments, the excise tax imposed by Section 4999 of the Code payable with respect to all of the Contingent Compensation Payments in excess of the Executive’s “base amount” (as defined in Section 280G(b)(3) of the Code), and any withholding taxes). The override of such reduction in Contingent Compensation Payments pursuant to this Section 4.5(b) shall be referred to as a “</w:t>
      </w:r>
      <w:r>
        <w:rPr>
          <w:rFonts w:ascii="Times New Roman" w:hAnsi="Times New Roman"/>
          <w:color w:val="000000"/>
          <w:sz w:val="24"/>
          <w:u w:val="single"/>
        </w:rPr>
        <w:t>Section 4.5(b) Override</w:t>
      </w:r>
      <w:r>
        <w:rPr>
          <w:rFonts w:ascii="Times New Roman" w:hAnsi="Times New Roman"/>
          <w:color w:val="000000"/>
          <w:sz w:val="24"/>
        </w:rPr>
        <w:t>.” For purpose of this paragraph, if any federal or state income taxes would be attributable to the receipt of any</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Eliminated Payment, the amount of such taxes shall be computed by multiplying the amount of the Eliminated Payment by the maximum combined federal and state income tax rate provided bylaw.</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(c) For purposes of this Section 4.5, the following terms shall have the following respective meanings:</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(i) “</w:t>
      </w:r>
      <w:r>
        <w:rPr>
          <w:rFonts w:ascii="Times New Roman" w:hAnsi="Times New Roman"/>
          <w:color w:val="000000"/>
          <w:sz w:val="24"/>
          <w:u w:val="single"/>
        </w:rPr>
        <w:t>Change in Ownership or Control</w:t>
      </w:r>
      <w:r>
        <w:rPr>
          <w:rFonts w:ascii="Times New Roman" w:hAnsi="Times New Roman"/>
          <w:color w:val="000000"/>
          <w:sz w:val="20"/>
        </w:rPr>
        <w:t xml:space="preserve">” </w:t>
      </w:r>
      <w:r>
        <w:rPr>
          <w:rFonts w:ascii="Times New Roman" w:hAnsi="Times New Roman"/>
          <w:color w:val="000000"/>
          <w:sz w:val="24"/>
        </w:rPr>
        <w:t>shall mean a change in the ownership or effective control of the Company or in the ownership of a substantial portion of the assets of the Company determined in accordance with Section 280G(b)(2) of the Code.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(ii) “</w:t>
      </w:r>
      <w:r>
        <w:rPr>
          <w:rFonts w:ascii="Times New Roman" w:hAnsi="Times New Roman"/>
          <w:color w:val="000000"/>
          <w:sz w:val="24"/>
          <w:u w:val="single"/>
        </w:rPr>
        <w:t>Contingent Compensation Payment</w:t>
      </w:r>
      <w:r>
        <w:rPr>
          <w:rFonts w:ascii="Times New Roman" w:hAnsi="Times New Roman"/>
          <w:color w:val="000000"/>
          <w:sz w:val="20"/>
        </w:rPr>
        <w:t xml:space="preserve">” </w:t>
      </w:r>
      <w:r>
        <w:rPr>
          <w:rFonts w:ascii="Times New Roman" w:hAnsi="Times New Roman"/>
          <w:color w:val="000000"/>
          <w:sz w:val="24"/>
        </w:rPr>
        <w:t>shall mean any payment (or benefit) in the nature of compensation that is made or made available (under this Agreement or otherwise) to a “disqualified individual” (as defined in Section 280G(c) of the Code) and that is contingent (within the meaning of Section 280G(b)(2)(A)(i) of the Code) on a Change in Ownership or Control of the Company.</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(d) Any payments or other benefits otherwise due to the Executive following a Change in Ownership or Control that could reasonably be characterized (as determined by the Company) as Contingent Compensation Payments (the “</w:t>
      </w:r>
      <w:r>
        <w:rPr>
          <w:rFonts w:ascii="Times New Roman" w:hAnsi="Times New Roman"/>
          <w:color w:val="000000"/>
          <w:sz w:val="24"/>
          <w:u w:val="single"/>
        </w:rPr>
        <w:t>Potential Payments</w:t>
      </w:r>
      <w:r>
        <w:rPr>
          <w:rFonts w:ascii="Times New Roman" w:hAnsi="Times New Roman"/>
          <w:color w:val="000000"/>
          <w:sz w:val="20"/>
        </w:rPr>
        <w:t>”</w:t>
      </w:r>
      <w:r>
        <w:rPr>
          <w:rFonts w:ascii="Times New Roman" w:hAnsi="Times New Roman"/>
          <w:color w:val="000000"/>
          <w:sz w:val="24"/>
        </w:rPr>
        <w:t>) shall not be made until the dates provided for in this Section 4.5(d). Within 30 days after each date on which the Executive first becomes entitled to receive (whether or not then due) a Contingent Compensation Payment relating to such Change in Ownership or Control, the Company shall determine and notify the Executive (with reasonable detail regarding the basis for its determinations) (i) which Potential Payments constitute Contingent Compensation Payments, (ii) the Eliminated Amount and (iii) whether the Section 4.5(b) Override is applicable. Within 30 days after delivery of such notice to the Executive, the Executive shall deliver a response to the Company (the “</w:t>
      </w:r>
      <w:r>
        <w:rPr>
          <w:rFonts w:ascii="Times New Roman" w:hAnsi="Times New Roman"/>
          <w:color w:val="000000"/>
          <w:sz w:val="24"/>
          <w:u w:val="single"/>
        </w:rPr>
        <w:t>Executive Response</w:t>
      </w:r>
      <w:r>
        <w:rPr>
          <w:rFonts w:ascii="Times New Roman" w:hAnsi="Times New Roman"/>
          <w:color w:val="000000"/>
          <w:sz w:val="20"/>
        </w:rPr>
        <w:t>”</w:t>
      </w:r>
      <w:r>
        <w:rPr>
          <w:rFonts w:ascii="Times New Roman" w:hAnsi="Times New Roman"/>
          <w:color w:val="000000"/>
          <w:sz w:val="24"/>
        </w:rPr>
        <w:t>) stating either (A) that the Executive agrees with the Company’s determination pursuant to the preceding sentence or (B) that the Executive disagrees with such determination, in which case the Executive shall set forth (i) which Potential Payments should be characterized as Contingent Compensation Payments, (ii) the Eliminated Amount, and (iii) whether the Section 4.5(b) Override is applicable. In the event that the Executive fails to deliver an Executive Response on or before the required date, the Company’s initial determination shall be final. If the Executive states in the Executive Response that the Executive agrees with the Company’s determination, the Company shall make the Potential Payments to the Executive within three business days following delivery to the Company of the Executive Response (except for any Potential Payments which are not due to be made until after such date, which Potential Payments shall be made on the date on which they are due). If the Executive states in the Executive Response that the Executive disagrees with the Company’s determination, then, for a period of 60 days following delivery of the Executive Response, the Executive and the Company shall use good faith efforts to resolve such dispute. If such dispute is not resolved within such 60-day period, such dispute shall be settled exclusively by arbitration in Boston, Massachusetts, in accordance with the rules of the American Arbitration Association then in effect. Judgment may be entered on the arbitrator’s award in any court having jurisdiction. The Company shall, within three business days following delivery to the Company of the Executive Response, make to the Executive those Potential Payments as to which there is no dispute between the Company and</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the Executive regarding whether they should be made (except for any such Potential Payments which are not due to be made until after such date, which Potential Payments shall be made on the date on which they are due). The balance of the Potential Payments shall be made within three business days following the resolution of such dispute. Subject to the limitations contained in Sections 4.5(a) and (b) hereof, the amount of any payments to be made to the Executive following the resolution of such dispute shall be increased by amount of the accrued interest thereon computed at the prime rate announced from time to time by Bank of America or its successor, compounded monthly from the date that such payments originally were due.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(e) The Contingent Compensation Payments to be treated as Eliminated Payments shall be determined by the Company by determining the “Contingent Compensation Payment Ratio” (as defined below) for each Contingent Compensation Payment and then reducing the Contingent Compensation Payments in order beginning with the Contingent Compensation Payment with the highest Contingent Compensation Payment Ratio. For Contingent Compensation Payments with the same Contingent Compensation Payment Ratio, such Contingent Compensation Payment shall be reduced based on the time of payment of such Contingent Compensation Payments with amounts having later payment dates being reduced first. For Contingent Compensation Payments with the same Contingent Compensation Payment Ratio and the same time of payment, such Contingent Compensation Payments shall be reduced on a pro rata basis (but not below zero) prior to reducing Contingent Compensation Payment with a lower Contingent Compensation Payment Ratio. The term “</w:t>
      </w:r>
      <w:r>
        <w:rPr>
          <w:rFonts w:ascii="Times New Roman" w:hAnsi="Times New Roman"/>
          <w:color w:val="000000"/>
          <w:sz w:val="24"/>
          <w:u w:val="single"/>
        </w:rPr>
        <w:t>Contingent Compensation Payment Ratio</w:t>
      </w:r>
      <w:r>
        <w:rPr>
          <w:rFonts w:ascii="Times New Roman" w:hAnsi="Times New Roman"/>
          <w:color w:val="000000"/>
          <w:sz w:val="20"/>
        </w:rPr>
        <w:t xml:space="preserve">” </w:t>
      </w:r>
      <w:r>
        <w:rPr>
          <w:rFonts w:ascii="Times New Roman" w:hAnsi="Times New Roman"/>
          <w:color w:val="000000"/>
          <w:sz w:val="24"/>
        </w:rPr>
        <w:t>shall mean a fraction the numerator of which is the value of the applicable Contingent Compensation Payment that must be taken into account by the Executive for purposes of Section 4999(a) of the Code, and the denominator of which is the actual amount to be received by the Executive in respect of the applicable Contingent Compensation Payment. For example, in the case of an equity grant that is treated as contingent on the Change in Ownership or Control because the time at which the payment is made or the payment vests is accelerated, the denominator shall be determined by reference to the fair market value of the equity at the acceleration date, and not in accordance with the methodology for determining the value of accelerated payments set forth in Treasury Regulation Section 1.280G-lQ/A-24(b) or (c)).</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(f) The provisions of this Section 4.5 are intended to apply to any and all payments or benefits available to the Executive under this Agreement or any other agreement or plan of the Company under which the Executive receives Contingent Compensation Payments.</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4.6 </w:t>
      </w:r>
      <w:r>
        <w:rPr>
          <w:rFonts w:ascii="Times New Roman" w:hAnsi="Times New Roman"/>
          <w:color w:val="000000"/>
          <w:sz w:val="24"/>
          <w:u w:val="single"/>
        </w:rPr>
        <w:t>Distributions; Section 409A of the Code</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(a) Subject to the provisions in this Section 4.6, any severance payments or benefits under this Agreement shall begin only upon the date of the Executive’s “separation from service” (determined as set forth below) which occurs on or after the Executive’s Date of Termination. It is intended that each installment of the payments and benefits provided under this Section 4 shall be treated as a separate “payment” for purposes of Section 409A of the Code and the guidance issued thereunder (“</w:t>
      </w:r>
      <w:r>
        <w:rPr>
          <w:rFonts w:ascii="Times New Roman" w:hAnsi="Times New Roman"/>
          <w:color w:val="000000"/>
          <w:sz w:val="24"/>
          <w:u w:val="single"/>
        </w:rPr>
        <w:t>Section 409A</w:t>
      </w:r>
      <w:r>
        <w:rPr>
          <w:rFonts w:ascii="Times New Roman" w:hAnsi="Times New Roman"/>
          <w:color w:val="000000"/>
          <w:sz w:val="20"/>
        </w:rPr>
        <w:t>”</w:t>
      </w:r>
      <w:r>
        <w:rPr>
          <w:rFonts w:ascii="Times New Roman" w:hAnsi="Times New Roman"/>
          <w:color w:val="000000"/>
          <w:sz w:val="24"/>
        </w:rPr>
        <w:t>). Neither the Company nor the Executive shall have the right to accelerate or defer the delivery of any such payments or benefits except to the extent specifically permitted or required by Section 409A.</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(b) If, as of the date of the “separation from service” of the Executive from the Company, the Executive is not a “specified employee” (each within the meaning of Section 409A), then each installment of the severance payments and benefits shall be made on the dates and terms set forth in this Section 4.</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(c) If, as of the date of the Executive’s “separation from service” from the Company, the Executive is a “specified employee” (each, for purposes of this Agreement, within the meaning of Section 409A), then:</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(i) Each installment of the severance payments and benefits due under this Section 4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Section 1.409A-1(b)(4) to the maximum extent permissible under Section 409A and such payments and benefits shall be paid or provided on the dates and terms set forth in this Agreement; and</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(ii) Each installment of the severance payments and benefits due under this Section 4 that is not described in Section 4.6(c)(i) above and that would, absent this subsection, be paid within the six-month period following the Executive’s “separation from service” from the Company shall not be paid until the date that is six months and one day after such separation from service (or, if earlier, the death of the Executive),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severance payments and benefits if and to the maximum extent that such installment is deemed to be paid under a separation pay plan that does not provide for a deferral of compensation by reason of the application of Treasury Regulation 1.409A-l(b)(9)(iii) (relating to separation pay upon an involuntary separation from service). Any installments that qualify for the exception under Treasury Regulation Section 1.409A-1(b)(9)(iii) must be paid no later than the last day of the second taxable year of the Executive following the taxable year of the Executive in which the separation from service occurs.</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(d) The determination of whether and when the Executive’s separation from service from the Company has occurred shall be made and in a manner consistent with and based on the presumptions set forth in, Treasury Regulation Section 1.409A-l(h). Solely for purposes of this Section 4.6, “Company” shall include all persons with whom the Company would be considered a single employer under Section 414 and 414(c) of the Code.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(e) All reimbursements and in-kind benefits provided under this Agreement shall be made or provided in accordance with the requirements of Sections 409A to the extent that such reimbursements or in-kind benefits are subject to Section 409A, including, where applicable, the requirements that (i) any reimbursement is for expenses incurred during the Executive’s lifetime (or during a shorter period of time specified in this Agreement), (ii) the amount of expenses</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(f) Notwithstanding anything herein to the contrary, neither the Company, the Board nor its or their designees or agents shall have any liability to the Executive or to any other person if the payments and benefits provided hereunder that are intended to be exempt from or compliant with Section 409A are not so exempt or compliant.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4.7 </w:t>
      </w:r>
      <w:r>
        <w:rPr>
          <w:rFonts w:ascii="Times New Roman" w:hAnsi="Times New Roman"/>
          <w:color w:val="000000"/>
          <w:sz w:val="24"/>
          <w:u w:val="single"/>
        </w:rPr>
        <w:t>Release; Sole Remedy</w:t>
      </w:r>
      <w:r>
        <w:rPr>
          <w:rFonts w:ascii="Times New Roman" w:hAnsi="Times New Roman"/>
          <w:color w:val="000000"/>
          <w:sz w:val="24"/>
        </w:rPr>
        <w:t>. The Company’s obligation to make the severance payments and provide the severance benefits to the Executive under this Agreement are conditioned upon (i) the execution and non-revocation by the Executive of a release of claims (in a form provided by the Company within fourteen (14) days following the end of Executive’s employment) (the “</w:t>
      </w:r>
      <w:r>
        <w:rPr>
          <w:rFonts w:ascii="Times New Roman" w:hAnsi="Times New Roman"/>
          <w:color w:val="000000"/>
          <w:sz w:val="24"/>
          <w:u w:val="single"/>
        </w:rPr>
        <w:t>Release</w:t>
      </w:r>
      <w:r>
        <w:rPr>
          <w:rFonts w:ascii="Times New Roman" w:hAnsi="Times New Roman"/>
          <w:color w:val="000000"/>
          <w:sz w:val="20"/>
        </w:rPr>
        <w:t>”</w:t>
      </w:r>
      <w:r>
        <w:rPr>
          <w:rFonts w:ascii="Times New Roman" w:hAnsi="Times New Roman"/>
          <w:color w:val="000000"/>
          <w:sz w:val="24"/>
        </w:rPr>
        <w:t>) within 60 days following the Date of Termination, and (ii) the Executive’s compliance with any employment, consulting, advisory, nondisclosure, non-competition or other similar agreement between the Executive and the Company, provided that the Executive shall be deemed to have been in compliance with the provisions of such agreement if, within ten (10) days of written notice thereof, such noncompliance is cured, unless the Board determines in good faith that noncompliance is not curable, and (b) constitute the sole remedy of the Executive in the event of a termination of the Executive’s employment for any reason. The date on which the Release becomes effective shall be the “</w:t>
      </w:r>
      <w:r>
        <w:rPr>
          <w:rFonts w:ascii="Times New Roman" w:hAnsi="Times New Roman"/>
          <w:color w:val="000000"/>
          <w:sz w:val="24"/>
          <w:u w:val="single"/>
        </w:rPr>
        <w:t>Release Effective Date</w:t>
      </w:r>
      <w:r>
        <w:rPr>
          <w:rFonts w:ascii="Times New Roman" w:hAnsi="Times New Roman"/>
          <w:color w:val="000000"/>
          <w:sz w:val="24"/>
        </w:rPr>
        <w:t>.” Notwithstanding the foregoing, if the 60</w:t>
      </w:r>
      <w:r>
        <w:rPr>
          <w:rFonts w:ascii="Times New Roman" w:hAnsi="Times New Roman"/>
          <w:color w:val="000000"/>
          <w:sz w:val="20"/>
        </w:rPr>
        <w:t xml:space="preserve">th </w:t>
      </w:r>
      <w:r>
        <w:rPr>
          <w:rFonts w:ascii="Times New Roman" w:hAnsi="Times New Roman"/>
          <w:color w:val="000000"/>
          <w:sz w:val="24"/>
        </w:rPr>
        <w:t>day following the date of termination occurs in the calendar year following the calendar year of the termination, then the Release Effective Date shall be no earlier than January 1 of such subsequent calendar year.</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4.8 </w:t>
      </w:r>
      <w:r>
        <w:rPr>
          <w:rFonts w:ascii="Times New Roman" w:hAnsi="Times New Roman"/>
          <w:color w:val="000000"/>
          <w:sz w:val="24"/>
          <w:u w:val="single"/>
        </w:rPr>
        <w:t>Mitigation</w:t>
      </w:r>
      <w:r>
        <w:rPr>
          <w:rFonts w:ascii="Times New Roman" w:hAnsi="Times New Roman"/>
          <w:color w:val="000000"/>
          <w:sz w:val="24"/>
        </w:rPr>
        <w:t>. The Executive shall not be required to mitigate the amount of any payment or benefits provided for in this Section 4 by seeking other employment or otherwise. Further, except as provided in Section 4.1(b)(i) and Section 4.5, the amount of any payment or benefits provided for in this Section 4 shall not be reduced by any compensation earned by the Executive as a result of employment by another employer, by retirement benefits, by offset against any amount claimed to be owed by the Executive to the Company or otherwise.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Disputes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5.1 </w:t>
      </w:r>
      <w:r>
        <w:rPr>
          <w:rFonts w:ascii="Times New Roman" w:hAnsi="Times New Roman"/>
          <w:color w:val="000000"/>
          <w:sz w:val="24"/>
          <w:u w:val="single"/>
        </w:rPr>
        <w:t>Settlement of Disputes; Arbitration</w:t>
      </w:r>
      <w:r>
        <w:rPr>
          <w:rFonts w:ascii="Times New Roman" w:hAnsi="Times New Roman"/>
          <w:color w:val="000000"/>
          <w:sz w:val="24"/>
        </w:rPr>
        <w:t>. All claims by the Executive for benefits under this Agreement shall be directed to and determined by the Board and shall be in writing. Any denial by the Board of a claim for benefits under this Agreement shall be delivered to the Executive in writing and shall set forth the specific reasons for the denial and the specific provisions of this Agreement relied upon. The Board shall afford a reasonable opportunity to the Executive for a review of the decision denying a claim. Any further dispute or controversy arising under or in connection with this Agreement shall be settled exclusively by binding arbitration in Boston, Massachusetts, in accordance with the Employment Arbitration rules of the American Arbitration Association then in effect. Judgment may be entered on the arbitrator’s award in any court having jurisdiction.</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5.2 </w:t>
      </w:r>
      <w:r>
        <w:rPr>
          <w:rFonts w:ascii="Times New Roman" w:hAnsi="Times New Roman"/>
          <w:color w:val="000000"/>
          <w:sz w:val="24"/>
          <w:u w:val="single"/>
        </w:rPr>
        <w:t>Expenses</w:t>
      </w:r>
      <w:r>
        <w:rPr>
          <w:rFonts w:ascii="Times New Roman" w:hAnsi="Times New Roman"/>
          <w:color w:val="000000"/>
          <w:sz w:val="24"/>
        </w:rPr>
        <w:t>. If the Change in Control Date occurs during the Term, the Company agrees to pay as incurred, to the full extent permitted by law, all legal, accounting and other fees and expenses which the Executive may reasonably incur after the Change in Control Date as a result of any claim or contest (regardless of the outcome thereof) by the Company, the Executive or others regarding the validity or enforceability of, or liability under, any provision of this Agreement or any guarantee of performance thereof (including as a result of any contest by the Executive regarding the amount of any payment or benefits pursuant to this Agreement), plus in each case interest on any delayed payment at the applicable Federal rate provided for in Section 7872(f)(2)(A) of the Code. Prior to the Change in Control Date occurring during the Term, the parties agree that the prevailing party shall be entitled to recover from the other party, to the full extent permitted by law, all legal, accounting and other fees and expenses which the other may reasonably incur as a result of any claim or contest regarding the validity or enforceability of, or liability under, any provision of this Agreement or any guarantee of performance thereof (including as a result of any contest by the Executive regarding the amount of any payment or benefits pursuant to this Agreement), plus in each case interest on any delayed payment at the applicable Federal rate provided for in Section 7872(f)(2)(A) of the Code.</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5.3 </w:t>
      </w:r>
      <w:r>
        <w:rPr>
          <w:rFonts w:ascii="Times New Roman" w:hAnsi="Times New Roman"/>
          <w:color w:val="000000"/>
          <w:sz w:val="24"/>
          <w:u w:val="single"/>
        </w:rPr>
        <w:t>Compensation During a Dispute</w:t>
      </w:r>
      <w:r>
        <w:rPr>
          <w:rFonts w:ascii="Times New Roman" w:hAnsi="Times New Roman"/>
          <w:color w:val="000000"/>
          <w:sz w:val="24"/>
        </w:rPr>
        <w:t>. If the Change in Control Date occurs during the Term and the Executive’s employment with the Company terminates within twenty-four (24) months following the Change in Control Date, and the right of the Executive to receive benefits under Section 4 (or the amount or nature of the benefits to which the Executive is entitled to receive) are the subject of a bona fide dispute between the Company and the Executive, the Company shall continue (a) to pay to the Executive the Executive’s base salary in effect as of the Measurement Date and (b) to provide benefits to the Executive and the Executive’s family at least equal to those which would have been provided to them, if the Executive’s employment had not been terminated, in accordance with the applicable benefit plans in effect on the Measurement Date, until such dispute is resolved either by mutual written agreement of the parties or by an arbitrator’s award pursuant to Section 5.1. Following the resolution of such dispute, the sum of the payments made to the Executive under clause (a) of this Section 5.3 shall be deducted from any cash payment which the Executive is entitled to receive pursuant to Section 4; and if such sum exceeds the amount of the cash payment which the Executive is entitled to receive pursuant to Section 4, the excess of such sum over the amount of such payment shall be repaid (without interest) by the Executive to the Company within 60 days of the resolution of such dispute.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Successors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6.1 </w:t>
      </w:r>
      <w:r>
        <w:rPr>
          <w:rFonts w:ascii="Times New Roman" w:hAnsi="Times New Roman"/>
          <w:color w:val="000000"/>
          <w:sz w:val="24"/>
          <w:u w:val="single"/>
        </w:rPr>
        <w:t>Successor to Company</w:t>
      </w:r>
      <w:r>
        <w:rPr>
          <w:rFonts w:ascii="Times New Roman" w:hAnsi="Times New Roman"/>
          <w:color w:val="000000"/>
          <w:sz w:val="24"/>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such succession had taken place. Failure of the Company to obtain an assumption of this Agreement at or prior to the effectiveness of any succession shall be a breach of this Agreement and shall constitute Good Reason if the Executive elects to terminate employment, except that for purposes of implementing the foregoing, the date on which any such succession becomes effective shall be deemed the Date of Termination. As used in this Agreement, “Company” shall mean the Company as defined above and any successor to its business or assets as aforesaid which assumes and agrees to perform this Agreement, by operation of law or otherwise.</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6.2 </w:t>
      </w:r>
      <w:r>
        <w:rPr>
          <w:rFonts w:ascii="Times New Roman" w:hAnsi="Times New Roman"/>
          <w:color w:val="000000"/>
          <w:sz w:val="24"/>
          <w:u w:val="single"/>
        </w:rPr>
        <w:t>Successor to Executive</w:t>
      </w:r>
      <w:r>
        <w:rPr>
          <w:rFonts w:ascii="Times New Roman" w:hAnsi="Times New Roman"/>
          <w:color w:val="000000"/>
          <w:sz w:val="24"/>
        </w:rPr>
        <w:t>. This Agreement shall inure to the benefit of and be enforceable by the Executive’s personal or legal representatives, executors, administrators, successors, heirs, distributees, devisees and legatees. If the Executive should die while any amount would still be payable to the Executive or the Executive’s family hereunder if the Executive had continued to live, all such amounts, unless otherwise provided herein, shall be paid in accordance with the terms of this Agreement to the executors, personal representatives or administrators of the Executive’s estate.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Notice</w:t>
      </w:r>
      <w:r>
        <w:rPr>
          <w:rFonts w:ascii="Times New Roman" w:hAnsi="Times New Roman"/>
          <w:color w:val="000000"/>
          <w:sz w:val="24"/>
        </w:rPr>
        <w:t>. All notices, instructions and other communications given hereunder or in connection herewith shall be in writing. Any such notice, instruction or communication shall be sent either (i) by registered or certified mail, return receipt requested, postage prepaid, or (ii) prepaid via a reputable nationwide overnight courier service, in each case addressed to the Company, at 200 Minuteman Road, Andover, Massachusetts 01810, Attn: Chief Executive Officer, and to the Executive at the Executive’s last residential address on file at the Company (or to such other address as either the Company or the Executive may have furnished to the other in writing in accordance herewith). Any such notice, instruction or communication shall be deemed to have been delivered five business days after it is sent by registered or certified mail, return receipt requested, postage prepaid, or one business day after it is sent via a reputable nationwide overnight courier service. Either party may give any notice, instruction or other communication hereunder using any other means, but no such notice, instruction or other communication shall be deemed to have been duly delivered unless and until it actually is received by the party for whom it is intended.</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Miscellaneous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8.1 </w:t>
      </w:r>
      <w:r>
        <w:rPr>
          <w:rFonts w:ascii="Times New Roman" w:hAnsi="Times New Roman"/>
          <w:color w:val="000000"/>
          <w:sz w:val="24"/>
          <w:u w:val="single"/>
        </w:rPr>
        <w:t>Employment by Subsidiary</w:t>
      </w:r>
      <w:r>
        <w:rPr>
          <w:rFonts w:ascii="Times New Roman" w:hAnsi="Times New Roman"/>
          <w:color w:val="000000"/>
          <w:sz w:val="24"/>
        </w:rPr>
        <w:t>. For purposes of this Agreement, the Executive’s employment with the Company shall not be deemed to have terminated solely as a result of the Executive continuing to be employed by a wholly-owned subsidiary of the Company.</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8.2 </w:t>
      </w:r>
      <w:r>
        <w:rPr>
          <w:rFonts w:ascii="Times New Roman" w:hAnsi="Times New Roman"/>
          <w:color w:val="000000"/>
          <w:sz w:val="24"/>
          <w:u w:val="single"/>
        </w:rPr>
        <w:t>Severability</w:t>
      </w:r>
      <w:r>
        <w:rPr>
          <w:rFonts w:ascii="Times New Roman" w:hAnsi="Times New Roman"/>
          <w:color w:val="000000"/>
          <w:sz w:val="24"/>
        </w:rPr>
        <w:t>. The invalidity or unenforceability of any provision of this Agreement shall not affect the validity or enforceability of any other provision of this Agreement, which shall remain in full force and effect.</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8.3 </w:t>
      </w:r>
      <w:r>
        <w:rPr>
          <w:rFonts w:ascii="Times New Roman" w:hAnsi="Times New Roman"/>
          <w:color w:val="000000"/>
          <w:sz w:val="24"/>
          <w:u w:val="single"/>
        </w:rPr>
        <w:t>Injunctive Relief</w:t>
      </w:r>
      <w:r>
        <w:rPr>
          <w:rFonts w:ascii="Times New Roman" w:hAnsi="Times New Roman"/>
          <w:color w:val="000000"/>
          <w:sz w:val="24"/>
        </w:rPr>
        <w:t>. The Company and the Executive agree that any breach of this Agreement by the Company is likely to cause the Executive substantial and irrevocable damage and therefore, in the event of any such breach, in addition to such other remedies which may be available, the Executive shall have the right to specific performance and injunctive relief.</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8.4 </w:t>
      </w:r>
      <w:r>
        <w:rPr>
          <w:rFonts w:ascii="Times New Roman" w:hAnsi="Times New Roman"/>
          <w:color w:val="000000"/>
          <w:sz w:val="24"/>
          <w:u w:val="single"/>
        </w:rPr>
        <w:t>Governing Law</w:t>
      </w:r>
      <w:r>
        <w:rPr>
          <w:rFonts w:ascii="Times New Roman" w:hAnsi="Times New Roman"/>
          <w:color w:val="000000"/>
          <w:sz w:val="24"/>
        </w:rPr>
        <w:t>. The validity, interpretation, construction and performance of this Agreement shall be governed by the internal laws of the Commonwealth of Massachusetts, without regard to conflicts of law principles.</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8.5 </w:t>
      </w:r>
      <w:r>
        <w:rPr>
          <w:rFonts w:ascii="Times New Roman" w:hAnsi="Times New Roman"/>
          <w:color w:val="000000"/>
          <w:sz w:val="24"/>
          <w:u w:val="single"/>
        </w:rPr>
        <w:t>Waivers</w:t>
      </w:r>
      <w:r>
        <w:rPr>
          <w:rFonts w:ascii="Times New Roman" w:hAnsi="Times New Roman"/>
          <w:color w:val="000000"/>
          <w:sz w:val="24"/>
        </w:rPr>
        <w:t>. No waiver by the Executive at any time of any breach of, or compliance with, any provision of this Agreement to be performed by the Company shall be deemed a waiver of that or any other provision at any subsequent time.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8.6 </w:t>
      </w:r>
      <w:r>
        <w:rPr>
          <w:rFonts w:ascii="Times New Roman" w:hAnsi="Times New Roman"/>
          <w:color w:val="000000"/>
          <w:sz w:val="24"/>
          <w:u w:val="single"/>
        </w:rPr>
        <w:t>Counterparts</w:t>
      </w:r>
      <w:r>
        <w:rPr>
          <w:rFonts w:ascii="Times New Roman" w:hAnsi="Times New Roman"/>
          <w:color w:val="000000"/>
          <w:sz w:val="24"/>
        </w:rPr>
        <w:t>. This Agreement may be executed in counterparts, each of which shall be deemed to be an original but both of which together shall constitute one and the same instrument.</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8.7 </w:t>
      </w:r>
      <w:r>
        <w:rPr>
          <w:rFonts w:ascii="Times New Roman" w:hAnsi="Times New Roman"/>
          <w:color w:val="000000"/>
          <w:sz w:val="24"/>
          <w:u w:val="single"/>
        </w:rPr>
        <w:t>Tax Withholding</w:t>
      </w:r>
      <w:r>
        <w:rPr>
          <w:rFonts w:ascii="Times New Roman" w:hAnsi="Times New Roman"/>
          <w:color w:val="000000"/>
          <w:sz w:val="24"/>
        </w:rPr>
        <w:t>. Any payments provided for hereunder shall be paid net of any applicable tax withholding required under federal, state or local law.</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8.8 </w:t>
      </w:r>
      <w:r>
        <w:rPr>
          <w:rFonts w:ascii="Times New Roman" w:hAnsi="Times New Roman"/>
          <w:color w:val="000000"/>
          <w:sz w:val="24"/>
          <w:u w:val="single"/>
        </w:rPr>
        <w:t>Entire Agreement</w:t>
      </w:r>
      <w:r>
        <w:rPr>
          <w:rFonts w:ascii="Times New Roman" w:hAnsi="Times New Roman"/>
          <w:color w:val="000000"/>
          <w:sz w:val="24"/>
        </w:rPr>
        <w:t>. This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any party hereto in respect of the subject matter contained herein; and any prior agreement of the parties hereto in respect of the subject matter contained herein is hereby terminated and cancelled.</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8.9 </w:t>
      </w:r>
      <w:r>
        <w:rPr>
          <w:rFonts w:ascii="Times New Roman" w:hAnsi="Times New Roman"/>
          <w:color w:val="000000"/>
          <w:sz w:val="24"/>
          <w:u w:val="single"/>
        </w:rPr>
        <w:t>Amendments</w:t>
      </w:r>
      <w:r>
        <w:rPr>
          <w:rFonts w:ascii="Times New Roman" w:hAnsi="Times New Roman"/>
          <w:color w:val="000000"/>
          <w:sz w:val="24"/>
        </w:rPr>
        <w:t>. This Agreement may be amended or modified only by a written instrument executed by both the Company and the Executive.</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8.10 </w:t>
      </w:r>
      <w:r>
        <w:rPr>
          <w:rFonts w:ascii="Times New Roman" w:hAnsi="Times New Roman"/>
          <w:color w:val="000000"/>
          <w:sz w:val="24"/>
          <w:u w:val="single"/>
        </w:rPr>
        <w:t>Executive’s Acknowledgements</w:t>
      </w:r>
      <w:r>
        <w:rPr>
          <w:rFonts w:ascii="Times New Roman" w:hAnsi="Times New Roman"/>
          <w:color w:val="000000"/>
          <w:sz w:val="24"/>
        </w:rPr>
        <w:t>. The Executive acknowledges that the Executive: (a) has read this Agreement; (b) has been represented in the preparation, negotiation, and execution of this Agreement by legal counsel of the Executive’s own choice or has voluntarily declined to seek such counsel; (c) understands the terms and consequences of this Agreement; and (d) understands that the law firm of Ropes &amp; Gray LLP is acting as counsel to the Company in connection with the transactions contemplated by this Agreement, and is not acting as counsel for the Executive.</w:t>
      </w:r>
      <w:r>
        <w:rPr>
          <w:rFonts w:ascii="Times New Roman" w:hAnsi="Times New Roman"/>
          <w:color w:val="000000"/>
          <w:sz w:val="20"/>
        </w:rPr>
        <w:t xml:space="preserve">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left"/>
        <w:rPr>
          <w:rFonts w:ascii="Times New Roman" w:hAnsi="Times New Roman"/>
          <w:sz w:val="20"/>
        </w:rPr>
      </w:pPr>
      <w:r>
        <w:rPr>
          <w:rFonts w:ascii="Times New Roman" w:hAnsi="Times New Roman"/>
          <w:color w:val="000000"/>
          <w:sz w:val="24"/>
        </w:rPr>
        <w:t>IN WITNESS WHEREOF, the parties hereto have executed this Agreement as of the day and year first set forth above.</w:t>
      </w:r>
      <w:r>
        <w:rPr>
          <w:rFonts w:ascii="Times New Roman" w:hAnsi="Times New Roman"/>
          <w:color w:val="000000"/>
          <w:sz w:val="20"/>
        </w:rPr>
        <w:t xml:space="preserve"> </w:t>
      </w:r>
    </w:p>
    <w:tbl>
      <w:tblPr>
        <w:tblW w:w="3990" w:type="dxa"/>
        <w:jc w:val="left"/>
        <w:tblInd w:w="0" w:type="dxa"/>
        <w:tblLayout w:type="fixed"/>
        <w:tblCellMar>
          <w:top w:w="28" w:type="dxa"/>
          <w:left w:w="28" w:type="dxa"/>
          <w:bottom w:w="28" w:type="dxa"/>
          <w:right w:w="28" w:type="dxa"/>
        </w:tblCellMar>
      </w:tblPr>
      <w:tblGrid>
        <w:gridCol w:w="496"/>
        <w:gridCol w:w="160"/>
        <w:gridCol w:w="3334"/>
      </w:tblGrid>
      <w:tr>
        <w:trPr/>
        <w:tc>
          <w:tcPr>
            <w:tcW w:w="4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240" w:after="240"/>
              <w:jc w:val="left"/>
              <w:rPr/>
            </w:pPr>
            <w:r>
              <w:rPr/>
              <w:t> </w:t>
            </w:r>
          </w:p>
        </w:tc>
        <w:tc>
          <w:tcPr>
            <w:tcW w:w="160" w:type="dxa"/>
            <w:tcBorders/>
            <w:tcMar>
              <w:top w:w="0" w:type="dxa"/>
              <w:left w:w="0" w:type="dxa"/>
              <w:bottom w:w="0" w:type="dxa"/>
              <w:right w:w="0" w:type="dxa"/>
            </w:tcMar>
            <w:vAlign w:val="center"/>
          </w:tcPr>
          <w:p>
            <w:pPr>
              <w:pStyle w:val="TableContents"/>
              <w:bidi w:val="0"/>
              <w:spacing w:before="240" w:after="240"/>
              <w:jc w:val="left"/>
              <w:rPr/>
            </w:pPr>
            <w:r>
              <w:rPr/>
              <w:t> </w:t>
            </w:r>
          </w:p>
        </w:tc>
        <w:tc>
          <w:tcPr>
            <w:tcW w:w="3334" w:type="dxa"/>
            <w:tcBorders/>
            <w:tcMar>
              <w:top w:w="0" w:type="dxa"/>
              <w:left w:w="0" w:type="dxa"/>
              <w:bottom w:w="0" w:type="dxa"/>
              <w:right w:w="0" w:type="dxa"/>
            </w:tcMar>
            <w:vAlign w:val="center"/>
          </w:tcPr>
          <w:p>
            <w:pPr>
              <w:pStyle w:val="TableContents"/>
              <w:bidi w:val="0"/>
              <w:spacing w:before="240" w:after="240"/>
              <w:jc w:val="left"/>
              <w:rPr/>
            </w:pPr>
            <w:r>
              <w:rPr/>
              <w:t> </w:t>
            </w:r>
          </w:p>
        </w:tc>
      </w:tr>
      <w:tr>
        <w:trPr/>
        <w:tc>
          <w:tcPr>
            <w:tcW w:w="3990" w:type="dxa"/>
            <w:gridSpan w:val="3"/>
            <w:tcBorders/>
            <w:tcMar>
              <w:top w:w="0" w:type="dxa"/>
              <w:left w:w="0" w:type="dxa"/>
              <w:bottom w:w="0" w:type="dxa"/>
              <w:right w:w="0" w:type="dxa"/>
            </w:tcMar>
            <w:vAlign w:val="center"/>
          </w:tcPr>
          <w:p>
            <w:pPr>
              <w:pStyle w:val="TableContents"/>
              <w:bidi w:val="0"/>
              <w:spacing w:before="240" w:after="240"/>
              <w:jc w:val="left"/>
              <w:rPr>
                <w:rFonts w:ascii="Times New Roman" w:hAnsi="Times New Roman"/>
                <w:color w:val="000000"/>
                <w:sz w:val="22"/>
              </w:rPr>
            </w:pPr>
            <w:r>
              <w:rPr>
                <w:rFonts w:ascii="Times New Roman" w:hAnsi="Times New Roman"/>
                <w:color w:val="000000"/>
                <w:sz w:val="22"/>
              </w:rPr>
              <w:t>TRANSMEDICS, INC.</w:t>
            </w:r>
          </w:p>
        </w:tc>
      </w:tr>
      <w:tr>
        <w:trPr/>
        <w:tc>
          <w:tcPr>
            <w:tcW w:w="496" w:type="dxa"/>
            <w:tcBorders/>
            <w:tcMar>
              <w:top w:w="0" w:type="dxa"/>
              <w:left w:w="0" w:type="dxa"/>
              <w:bottom w:w="0" w:type="dxa"/>
              <w:right w:w="0" w:type="dxa"/>
            </w:tcMar>
            <w:vAlign w:val="center"/>
          </w:tcPr>
          <w:p>
            <w:pPr>
              <w:pStyle w:val="TableContents"/>
              <w:bidi w:val="0"/>
              <w:spacing w:before="240" w:after="240"/>
              <w:jc w:val="left"/>
              <w:rPr/>
            </w:pPr>
            <w:r>
              <w:rPr/>
              <w:t> </w:t>
            </w:r>
          </w:p>
        </w:tc>
        <w:tc>
          <w:tcPr>
            <w:tcW w:w="3494" w:type="dxa"/>
            <w:gridSpan w:val="2"/>
            <w:tcBorders/>
            <w:tcMar>
              <w:top w:w="0" w:type="dxa"/>
              <w:left w:w="0" w:type="dxa"/>
              <w:bottom w:w="0" w:type="dxa"/>
              <w:right w:w="0" w:type="dxa"/>
            </w:tcMar>
            <w:vAlign w:val="center"/>
          </w:tcPr>
          <w:p>
            <w:pPr>
              <w:pStyle w:val="TableContents"/>
              <w:bidi w:val="0"/>
              <w:spacing w:before="240" w:after="240"/>
              <w:jc w:val="left"/>
              <w:rPr/>
            </w:pPr>
            <w:r>
              <w:rPr/>
              <w:t> </w:t>
            </w:r>
          </w:p>
        </w:tc>
      </w:tr>
      <w:tr>
        <w:trPr/>
        <w:tc>
          <w:tcPr>
            <w:tcW w:w="496" w:type="dxa"/>
            <w:tcBorders/>
            <w:tcMar>
              <w:top w:w="0" w:type="dxa"/>
              <w:left w:w="0" w:type="dxa"/>
              <w:bottom w:w="0" w:type="dxa"/>
              <w:right w:w="0" w:type="dxa"/>
            </w:tcMar>
            <w:vAlign w:val="center"/>
          </w:tcPr>
          <w:p>
            <w:pPr>
              <w:pStyle w:val="TableContents"/>
              <w:bidi w:val="0"/>
              <w:spacing w:before="240" w:after="240"/>
              <w:jc w:val="left"/>
              <w:rPr>
                <w:rFonts w:ascii="Times New Roman" w:hAnsi="Times New Roman"/>
                <w:color w:val="000000"/>
                <w:sz w:val="22"/>
              </w:rPr>
            </w:pPr>
            <w:r>
              <w:rPr>
                <w:rFonts w:ascii="Times New Roman" w:hAnsi="Times New Roman"/>
                <w:color w:val="000000"/>
                <w:sz w:val="22"/>
              </w:rPr>
              <w:t>By:</w:t>
            </w:r>
          </w:p>
        </w:tc>
        <w:tc>
          <w:tcPr>
            <w:tcW w:w="160" w:type="dxa"/>
            <w:tcBorders/>
            <w:tcMar>
              <w:top w:w="0" w:type="dxa"/>
              <w:left w:w="0" w:type="dxa"/>
              <w:bottom w:w="0" w:type="dxa"/>
              <w:right w:w="0" w:type="dxa"/>
            </w:tcMar>
            <w:vAlign w:val="center"/>
          </w:tcPr>
          <w:p>
            <w:pPr>
              <w:pStyle w:val="TableContents"/>
              <w:bidi w:val="0"/>
              <w:spacing w:before="240" w:after="240"/>
              <w:jc w:val="left"/>
              <w:rPr/>
            </w:pPr>
            <w:r>
              <w:rPr/>
              <w:t> </w:t>
            </w:r>
          </w:p>
        </w:tc>
        <w:tc>
          <w:tcPr>
            <w:tcW w:w="3334" w:type="dxa"/>
            <w:tcBorders/>
            <w:tcMar>
              <w:top w:w="0" w:type="dxa"/>
              <w:left w:w="0" w:type="dxa"/>
              <w:bottom w:w="0" w:type="dxa"/>
              <w:right w:w="0" w:type="dxa"/>
            </w:tcMar>
            <w:vAlign w:val="center"/>
          </w:tcPr>
          <w:p>
            <w:pPr>
              <w:pStyle w:val="TableContents"/>
              <w:pBdr>
                <w:bottom w:val="single" w:sz="6" w:space="1" w:color="000000"/>
              </w:pBdr>
              <w:bidi w:val="0"/>
              <w:spacing w:before="240" w:after="20"/>
              <w:jc w:val="left"/>
              <w:rPr>
                <w:rFonts w:ascii="Times New Roman" w:hAnsi="Times New Roman"/>
                <w:color w:val="000000"/>
                <w:sz w:val="22"/>
              </w:rPr>
            </w:pPr>
            <w:r>
              <w:rPr>
                <w:rFonts w:ascii="Times New Roman" w:hAnsi="Times New Roman"/>
                <w:color w:val="000000"/>
                <w:sz w:val="22"/>
              </w:rPr>
              <w:t>/s/ Waleed H. Hassanein, M.D.</w:t>
            </w:r>
          </w:p>
        </w:tc>
      </w:tr>
      <w:tr>
        <w:trPr/>
        <w:tc>
          <w:tcPr>
            <w:tcW w:w="3990" w:type="dxa"/>
            <w:gridSpan w:val="3"/>
            <w:tcBorders/>
            <w:tcMar>
              <w:top w:w="0" w:type="dxa"/>
              <w:left w:w="0" w:type="dxa"/>
              <w:bottom w:w="0" w:type="dxa"/>
              <w:right w:w="0" w:type="dxa"/>
            </w:tcMar>
            <w:vAlign w:val="center"/>
          </w:tcPr>
          <w:p>
            <w:pPr>
              <w:pStyle w:val="TableContents"/>
              <w:bidi w:val="0"/>
              <w:spacing w:before="240" w:after="240"/>
              <w:jc w:val="left"/>
              <w:rPr>
                <w:rFonts w:ascii="Times New Roman" w:hAnsi="Times New Roman"/>
                <w:color w:val="000000"/>
                <w:sz w:val="22"/>
              </w:rPr>
            </w:pPr>
            <w:r>
              <w:rPr>
                <w:rFonts w:ascii="Times New Roman" w:hAnsi="Times New Roman"/>
                <w:color w:val="000000"/>
                <w:sz w:val="22"/>
              </w:rPr>
              <w:t>Waleed H. Hassanein, M.D.</w:t>
            </w:r>
          </w:p>
          <w:p>
            <w:pPr>
              <w:pStyle w:val="TableContents"/>
              <w:bidi w:val="0"/>
              <w:spacing w:before="240" w:after="20"/>
              <w:jc w:val="left"/>
              <w:rPr>
                <w:rFonts w:ascii="Times New Roman" w:hAnsi="Times New Roman"/>
                <w:color w:val="000000"/>
                <w:sz w:val="22"/>
              </w:rPr>
            </w:pPr>
            <w:r>
              <w:rPr>
                <w:rFonts w:ascii="Times New Roman" w:hAnsi="Times New Roman"/>
                <w:color w:val="000000"/>
                <w:sz w:val="22"/>
              </w:rPr>
              <w:t>Its President and Chief Executive Officer</w:t>
            </w:r>
          </w:p>
          <w:p>
            <w:pPr>
              <w:pStyle w:val="TableContents"/>
              <w:bidi w:val="0"/>
              <w:spacing w:before="240" w:after="20"/>
              <w:jc w:val="left"/>
              <w:rPr/>
            </w:pPr>
            <w:r>
              <w:rPr/>
              <w:t> </w:t>
            </w:r>
          </w:p>
          <w:p>
            <w:pPr>
              <w:pStyle w:val="TableContents"/>
              <w:bidi w:val="0"/>
              <w:spacing w:before="240" w:after="20"/>
              <w:jc w:val="left"/>
              <w:rPr/>
            </w:pPr>
            <w:r>
              <w:rPr/>
              <w:t> </w:t>
            </w:r>
          </w:p>
          <w:p>
            <w:pPr>
              <w:pStyle w:val="TableContents"/>
              <w:bidi w:val="0"/>
              <w:spacing w:before="240" w:after="20"/>
              <w:jc w:val="left"/>
              <w:rPr/>
            </w:pPr>
            <w:r>
              <w:rPr/>
              <w:t> </w:t>
            </w:r>
          </w:p>
          <w:p>
            <w:pPr>
              <w:pStyle w:val="TableContents"/>
              <w:bidi w:val="0"/>
              <w:spacing w:before="240" w:after="20"/>
              <w:jc w:val="left"/>
              <w:rPr/>
            </w:pPr>
            <w:r>
              <w:rPr/>
              <w:t> </w:t>
            </w:r>
          </w:p>
        </w:tc>
      </w:tr>
      <w:tr>
        <w:trPr/>
        <w:tc>
          <w:tcPr>
            <w:tcW w:w="3990" w:type="dxa"/>
            <w:gridSpan w:val="3"/>
            <w:tcBorders/>
            <w:tcMar>
              <w:top w:w="0" w:type="dxa"/>
              <w:left w:w="0" w:type="dxa"/>
              <w:bottom w:w="0" w:type="dxa"/>
              <w:right w:w="0" w:type="dxa"/>
            </w:tcMar>
            <w:vAlign w:val="center"/>
          </w:tcPr>
          <w:p>
            <w:pPr>
              <w:pStyle w:val="TableContents"/>
              <w:bidi w:val="0"/>
              <w:spacing w:before="240" w:after="240"/>
              <w:jc w:val="left"/>
              <w:rPr/>
            </w:pPr>
            <w:r>
              <w:rPr/>
              <w:t> </w:t>
            </w:r>
          </w:p>
        </w:tc>
      </w:tr>
      <w:tr>
        <w:trPr/>
        <w:tc>
          <w:tcPr>
            <w:tcW w:w="3990" w:type="dxa"/>
            <w:gridSpan w:val="3"/>
            <w:tcBorders>
              <w:bottom w:val="single" w:sz="4" w:space="0" w:color="000000"/>
            </w:tcBorders>
            <w:tcMar>
              <w:top w:w="0" w:type="dxa"/>
              <w:left w:w="0" w:type="dxa"/>
              <w:right w:w="0" w:type="dxa"/>
            </w:tcMar>
            <w:vAlign w:val="center"/>
          </w:tcPr>
          <w:p>
            <w:pPr>
              <w:pStyle w:val="TableContents"/>
              <w:bidi w:val="0"/>
              <w:spacing w:before="240" w:after="240"/>
              <w:jc w:val="left"/>
              <w:rPr>
                <w:rFonts w:ascii="Times New Roman" w:hAnsi="Times New Roman"/>
                <w:color w:val="000000"/>
                <w:sz w:val="22"/>
              </w:rPr>
            </w:pPr>
            <w:r>
              <w:rPr>
                <w:rFonts w:ascii="Times New Roman" w:hAnsi="Times New Roman"/>
                <w:color w:val="000000"/>
                <w:sz w:val="22"/>
              </w:rPr>
              <w:t>/s/ Gerardo Hernandez</w:t>
            </w:r>
          </w:p>
        </w:tc>
      </w:tr>
      <w:tr>
        <w:trPr/>
        <w:tc>
          <w:tcPr>
            <w:tcW w:w="3990" w:type="dxa"/>
            <w:gridSpan w:val="3"/>
            <w:tcBorders/>
            <w:tcMar>
              <w:top w:w="0" w:type="dxa"/>
              <w:left w:w="0" w:type="dxa"/>
              <w:bottom w:w="0" w:type="dxa"/>
              <w:right w:w="0" w:type="dxa"/>
            </w:tcMar>
            <w:vAlign w:val="center"/>
          </w:tcPr>
          <w:p>
            <w:pPr>
              <w:pStyle w:val="TableContents"/>
              <w:bidi w:val="0"/>
              <w:spacing w:before="240" w:after="240"/>
              <w:jc w:val="left"/>
              <w:rPr>
                <w:rFonts w:ascii="Times New Roman" w:hAnsi="Times New Roman"/>
                <w:color w:val="000000"/>
                <w:sz w:val="22"/>
              </w:rPr>
            </w:pPr>
            <w:r>
              <w:rPr>
                <w:rFonts w:ascii="Times New Roman" w:hAnsi="Times New Roman"/>
                <w:color w:val="000000"/>
                <w:sz w:val="22"/>
              </w:rPr>
              <w:t>Gerardo Hernandez</w:t>
            </w:r>
          </w:p>
        </w:tc>
      </w:tr>
    </w:tbl>
    <w:p>
      <w:pPr>
        <w:pStyle w:val="TextBody"/>
        <w:bidi w:val="0"/>
        <w:spacing w:before="240" w:after="240"/>
        <w:jc w:val="center"/>
        <w:rPr/>
      </w:pPr>
      <w:r>
        <w:rPr/>
        <w:t> </w:t>
      </w:r>
    </w:p>
    <w:p>
      <w:pPr>
        <w:pStyle w:val="TextBody"/>
        <w:bidi w:val="0"/>
        <w:jc w:val="left"/>
        <w:rPr/>
      </w:pPr>
      <w:r>
        <w:rPr/>
        <w:t> </w:t>
      </w:r>
    </w:p>
    <w:p>
      <w:pPr>
        <w:pStyle w:val="TextBody"/>
        <w:bidi w:val="0"/>
        <w:jc w:val="left"/>
        <w:rPr/>
      </w:pPr>
      <w:r>
        <w:rPr/>
        <w:t> </w:t>
      </w:r>
    </w:p>
    <w:p>
      <w:pPr>
        <w:pStyle w:val="TextBody"/>
        <w:bidi w:val="0"/>
        <w:spacing w:before="240" w:after="240"/>
        <w:jc w:val="left"/>
        <w:rPr/>
      </w:pPr>
      <w:r>
        <w:rPr/>
        <w:t> </w:t>
      </w:r>
    </w:p>
    <w:p>
      <w:pPr>
        <w:pStyle w:val="TextBody"/>
        <w:bidi w:val="0"/>
        <w:spacing w:before="240" w:after="240"/>
        <w:jc w:val="left"/>
        <w:rPr/>
      </w:pPr>
      <w:r>
        <w:rPr/>
        <w:t> </w:t>
      </w:r>
    </w:p>
    <w:p>
      <w:pPr>
        <w:pStyle w:val="TextBody"/>
        <w:bidi w:val="0"/>
        <w:spacing w:before="240" w:after="240"/>
        <w:jc w:val="center"/>
        <w:rPr>
          <w:rFonts w:ascii="Avenir Next LT Pro;sans-serif" w:hAnsi="Avenir Next LT Pro;sans-serif"/>
          <w:color w:val="4D4D50"/>
          <w:sz w:val="21"/>
        </w:rPr>
      </w:pPr>
      <w:r>
        <w:rPr>
          <w:rFonts w:ascii="Avenir Next LT Pro;sans-serif" w:hAnsi="Avenir Next LT Pro;sans-serif"/>
          <w:color w:val="4D4D50"/>
          <w:sz w:val="21"/>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53" w:name="tmdx-ex19_1.htm"/>
      <w:bookmarkStart w:id="54" w:name="kstmdxex19_1"/>
      <w:bookmarkEnd w:id="53"/>
      <w:bookmarkEnd w:id="54"/>
      <w:r>
        <w:rPr>
          <w:rFonts w:ascii="Times New Roman" w:hAnsi="Times New Roman"/>
          <w:color w:val="000000"/>
          <w:sz w:val="24"/>
        </w:rPr>
        <w:t>Exhibit 19.1</w:t>
      </w:r>
      <w:r>
        <w:br w:type="page"/>
      </w:r>
    </w:p>
    <w:p>
      <w:pPr>
        <w:pStyle w:val="TextBody"/>
        <w:bidi w:val="0"/>
        <w:jc w:val="center"/>
        <w:rPr>
          <w:rFonts w:ascii="Times New Roman" w:hAnsi="Times New Roman"/>
          <w:b/>
          <w:caps/>
          <w:color w:val="000000"/>
          <w:sz w:val="24"/>
        </w:rPr>
      </w:pPr>
      <w:r>
        <w:rPr>
          <w:rFonts w:ascii="Times New Roman" w:hAnsi="Times New Roman"/>
          <w:b/>
          <w:caps/>
          <w:color w:val="000000"/>
          <w:sz w:val="24"/>
        </w:rPr>
        <w:t>transmedics group, inc.</w:t>
      </w:r>
    </w:p>
    <w:p>
      <w:pPr>
        <w:pStyle w:val="TextBody"/>
        <w:bidi w:val="0"/>
        <w:jc w:val="center"/>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INSIDER TRADING Policy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pPr>
      <w:r>
        <w:rPr>
          <w:rFonts w:ascii="Times New Roman" w:hAnsi="Times New Roman"/>
          <w:color w:val="000000"/>
          <w:sz w:val="24"/>
          <w:u w:val="single"/>
        </w:rPr>
        <w:t>Purpose</w:t>
      </w:r>
      <w:r>
        <w:rPr>
          <w:rFonts w:ascii="Times New Roman" w:hAnsi="Times New Roman"/>
          <w:color w:val="000000"/>
          <w:sz w:val="24"/>
        </w:rPr>
        <w:t>. This Insider Trading Policy (this “</w:t>
      </w:r>
      <w:r>
        <w:rPr>
          <w:rFonts w:ascii="Times New Roman" w:hAnsi="Times New Roman"/>
          <w:color w:val="000000"/>
          <w:sz w:val="24"/>
          <w:u w:val="single"/>
        </w:rPr>
        <w:t>Policy</w:t>
      </w:r>
      <w:r>
        <w:rPr>
          <w:color w:val="000000"/>
        </w:rPr>
        <w:t>”</w:t>
      </w:r>
      <w:r>
        <w:rPr>
          <w:rFonts w:ascii="Times New Roman" w:hAnsi="Times New Roman"/>
          <w:color w:val="000000"/>
          <w:sz w:val="24"/>
        </w:rPr>
        <w:t>) provides guidelines with respect to transactions in the securities of TransMedics Group, Inc. (the “</w:t>
      </w:r>
      <w:r>
        <w:rPr>
          <w:rFonts w:ascii="Times New Roman" w:hAnsi="Times New Roman"/>
          <w:color w:val="000000"/>
          <w:sz w:val="24"/>
          <w:u w:val="single"/>
        </w:rPr>
        <w:t>Company</w:t>
      </w:r>
      <w:r>
        <w:rPr>
          <w:color w:val="000000"/>
        </w:rPr>
        <w:t>”</w:t>
      </w:r>
      <w:r>
        <w:rPr>
          <w:rFonts w:ascii="Times New Roman" w:hAnsi="Times New Roman"/>
          <w:color w:val="000000"/>
          <w:sz w:val="24"/>
        </w:rPr>
        <w:t>) and the handling of confidential information about the Company and the companies with which the Company does business. The Company’s Board of Directors (the “</w:t>
      </w:r>
      <w:r>
        <w:rPr>
          <w:rFonts w:ascii="Times New Roman" w:hAnsi="Times New Roman"/>
          <w:color w:val="000000"/>
          <w:sz w:val="24"/>
          <w:u w:val="single"/>
        </w:rPr>
        <w:t>Board</w:t>
      </w:r>
      <w:r>
        <w:rPr>
          <w:color w:val="000000"/>
        </w:rPr>
        <w:t>”</w:t>
      </w:r>
      <w:r>
        <w:rPr>
          <w:rFonts w:ascii="Times New Roman" w:hAnsi="Times New Roman"/>
          <w:color w:val="000000"/>
          <w:sz w:val="24"/>
        </w:rPr>
        <w:t>) has adopted this Policy to promote compliance with U.S. federal and state securities laws that prohibit certain persons, including the Company, who are aware of material nonpublic information about a company from: (i) trading in securities of that company; or (ii) providing such material nonpublic information to other persons who may trade on the basis of that information, commonly known as “tipping.” In addition, it is the policy of the Company to comply with all applicable securities law when transacting in its own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pPr>
      <w:r>
        <w:rPr>
          <w:rFonts w:ascii="Times New Roman" w:hAnsi="Times New Roman"/>
          <w:color w:val="000000"/>
          <w:sz w:val="24"/>
          <w:u w:val="single"/>
        </w:rPr>
        <w:t>Persons Subject to this Policy</w:t>
      </w:r>
      <w:r>
        <w:rPr>
          <w:rFonts w:ascii="Times New Roman" w:hAnsi="Times New Roman"/>
          <w:color w:val="000000"/>
          <w:sz w:val="24"/>
        </w:rPr>
        <w:t xml:space="preserve">. This Policy applies to all directors, officers and employees of the Company and its subsidiaries. </w:t>
      </w:r>
    </w:p>
    <w:p>
      <w:pPr>
        <w:pStyle w:val="TextBody"/>
        <w:bidi w:val="0"/>
        <w:spacing w:before="0" w:after="240"/>
        <w:jc w:val="left"/>
        <w:rPr>
          <w:rFonts w:ascii="Times New Roman" w:hAnsi="Times New Roman"/>
          <w:sz w:val="20"/>
        </w:rPr>
      </w:pPr>
      <w:r>
        <w:rPr>
          <w:rFonts w:ascii="Times New Roman" w:hAnsi="Times New Roman"/>
          <w:color w:val="000000"/>
          <w:sz w:val="24"/>
        </w:rPr>
        <w:t>This Policy also applies to transactions by: (i) such directors’, officers’ and employees’ family members who reside with them, (ii) anyone else who lives in their household, (iii) any family members who do not live in their household but whose transactions in Company Securities (as defined below) are directed by them or are subject to their influence or control (such as parents or children who consult with them before they trade in Company Securities) and (iv) family trusts, family partnerships and similar entities controlled by them or any person described in clauses (i)-(iii) (collectively, “</w:t>
      </w:r>
      <w:r>
        <w:rPr>
          <w:rFonts w:ascii="Times New Roman" w:hAnsi="Times New Roman"/>
          <w:color w:val="000000"/>
          <w:sz w:val="24"/>
          <w:u w:val="single"/>
        </w:rPr>
        <w:t>Other Covered Persons</w:t>
      </w:r>
      <w:r>
        <w:rPr>
          <w:rFonts w:ascii="Times New Roman" w:hAnsi="Times New Roman"/>
          <w:color w:val="000000"/>
          <w:sz w:val="20"/>
        </w:rPr>
        <w:t>”</w:t>
      </w:r>
      <w:r>
        <w:rPr>
          <w:rFonts w:ascii="Times New Roman" w:hAnsi="Times New Roman"/>
          <w:color w:val="000000"/>
          <w:sz w:val="24"/>
        </w:rPr>
        <w:t>). Directors, officers and employees are responsible for transactions by Other Covered Persons and for informing them of this Policy.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also may determine that other persons should be subject to this Policy, such as contractors or consultants who have access to material nonpublic information related to the Company. Any such other persons shall be notified by the Compliance Officer (as defined below).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pPr>
      <w:r>
        <w:rPr>
          <w:rFonts w:ascii="Times New Roman" w:hAnsi="Times New Roman"/>
          <w:color w:val="000000"/>
          <w:sz w:val="24"/>
          <w:u w:val="single"/>
        </w:rPr>
        <w:t>Transactions Subject to this Policy</w:t>
      </w:r>
      <w:r>
        <w:rPr>
          <w:rFonts w:ascii="Times New Roman" w:hAnsi="Times New Roman"/>
          <w:color w:val="000000"/>
          <w:sz w:val="24"/>
        </w:rPr>
        <w:t>. This Policy applies to transactions in the Company’s securities, including the Company’s common stock, options to purchase common stock, restricted stock units or any other type of security that the Company may issue, including, but not limited to, preferred stock, convertible debt and warrants (collectively, “</w:t>
      </w:r>
      <w:r>
        <w:rPr>
          <w:rFonts w:ascii="Times New Roman" w:hAnsi="Times New Roman"/>
          <w:color w:val="000000"/>
          <w:sz w:val="24"/>
          <w:u w:val="single"/>
        </w:rPr>
        <w:t>Company Securities</w:t>
      </w:r>
      <w:r>
        <w:rPr>
          <w:color w:val="000000"/>
        </w:rPr>
        <w:t>”</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pPr>
      <w:r>
        <w:rPr>
          <w:rFonts w:ascii="Times New Roman" w:hAnsi="Times New Roman"/>
          <w:color w:val="000000"/>
          <w:sz w:val="24"/>
          <w:u w:val="single"/>
        </w:rPr>
        <w:t>Individual Responsibility</w:t>
      </w:r>
      <w:r>
        <w:rPr>
          <w:rFonts w:ascii="Times New Roman" w:hAnsi="Times New Roman"/>
          <w:color w:val="000000"/>
          <w:sz w:val="24"/>
        </w:rPr>
        <w:t xml:space="preserve">. Persons subject to this Policy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and that any Other Covered Person whose transactions are subject to this Policy, as discussed above, also complies with this Policy. In all cases, the responsibility for determining whether an individual is in possession of material nonpublic information rests with that individual, and any action on the part of the Company, the Compliance Officer or any other employee or director pursuant to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Policy (or otherwise) does not in any way constitute legal advice or insulate an individual from liability under applicable securities laws. Persons subject to this Policy could be subject to severe legal penalties and disciplinary action by the Company for any conduct prohibited by this Policy or applicable securities laws, as described below in more detail under the heading “Consequences of Violations.”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pPr>
      <w:r>
        <w:rPr>
          <w:rFonts w:ascii="Times New Roman" w:hAnsi="Times New Roman"/>
          <w:color w:val="000000"/>
          <w:sz w:val="24"/>
          <w:u w:val="single"/>
        </w:rPr>
        <w:t>Administration of this Policy</w:t>
      </w:r>
      <w:r>
        <w:rPr>
          <w:rFonts w:ascii="Times New Roman" w:hAnsi="Times New Roman"/>
          <w:color w:val="000000"/>
          <w:sz w:val="24"/>
        </w:rPr>
        <w:t>. The Company’s General Counsel or such other officer as is designated by the Chief Executive Officer shall serve, in consultation with the Chief Executive Officer, as the Compliance Officer for the purposes of this Policy, and in such role, shall be responsible for the administration of this Policy. In the absence of the Compliance Officer, another employee designated by the Compliance Officer (or, if the Compliance Officer is unavailable, by the Chief Executive Officer) shall be responsible for administration of this Policy. All determinations and interpretations by the Compliance Officer or his or her delegate shall be final and not subject to further review.</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120"/>
        <w:jc w:val="left"/>
        <w:rPr/>
      </w:pPr>
      <w:r>
        <w:rPr>
          <w:rFonts w:ascii="Times New Roman" w:hAnsi="Times New Roman"/>
          <w:color w:val="000000"/>
          <w:sz w:val="24"/>
          <w:u w:val="single"/>
        </w:rPr>
        <w:t>Statement of Policy</w:t>
      </w:r>
      <w:r>
        <w:rPr>
          <w:rFonts w:ascii="Times New Roman" w:hAnsi="Times New Roman"/>
          <w:color w:val="000000"/>
          <w:sz w:val="24"/>
        </w:rPr>
        <w:t>. The policy of the Company is that a director, officer or other employee of the Company or its subsidiaries (or any other person designated by the Compliance Officer or his or her delegate as subject to this Policy) who is aware of material nonpublic information relating to the Company may not directly or indirectly through Other Covered Persons: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engage in transactions in Company Securities, except as otherwise specified in this Policy under the headings “Transactions Under Company Plans,” “Transactions Not Involving a Purchase or Sale” and “Rule 10b5-1 Plans”;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recommend to anyone the purchase or sale of any securities when they are aware of material non-public information;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disclose material nonpublic information to persons within the Company whose jobs do not require them to have that information, or anyone outside of the Company,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assist anyone engaged in the above activities in contravention of this Policy.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addition, the Company’s policy is that a director, officer or employee of the Company or its subsidiaries (or any other person designated by the Compliance Officer or his or her delegate as subject to this Policy) who, in the course of working for the Company or its subsidiaries, learns of material nonpublic information about a company with which the Company does business, including a customer or supplier of the Company or any of its subsidiaries, may not trade in that company’s securities until the information becomes public or is no longer material.</w:t>
      </w:r>
    </w:p>
    <w:p>
      <w:pPr>
        <w:pStyle w:val="TextBody"/>
        <w:bidi w:val="0"/>
        <w:spacing w:before="0" w:after="240"/>
        <w:jc w:val="left"/>
        <w:rPr>
          <w:rFonts w:ascii="Times New Roman" w:hAnsi="Times New Roman"/>
          <w:sz w:val="20"/>
        </w:rPr>
      </w:pPr>
      <w:r>
        <w:rPr>
          <w:rFonts w:ascii="Times New Roman" w:hAnsi="Times New Roman"/>
          <w:color w:val="000000"/>
          <w:sz w:val="24"/>
        </w:rPr>
        <w:t>The only exceptions to this Policy are specified herein. Transactions that may be necessary or justifiable for independent reasons (such as the need to raise money for an emergency expenditure), or small transactions, are not exempt from this Policy. The securities laws do not provide exceptions for mitigating circumstances, and, in any event, even the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appearance of an improper transaction must be avoided to preserve the Company’s reputation for adhering to high standards of conduct.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left"/>
        <w:rPr/>
      </w:pPr>
      <w:r>
        <w:rPr>
          <w:rFonts w:ascii="Times New Roman" w:hAnsi="Times New Roman"/>
          <w:color w:val="000000"/>
          <w:sz w:val="24"/>
          <w:u w:val="single"/>
        </w:rPr>
        <w:t>Definition of Material Nonpublic Information</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7.1.</w:t>
      </w:r>
    </w:p>
    <w:p>
      <w:pPr>
        <w:pStyle w:val="TextBody"/>
        <w:bidi w:val="0"/>
        <w:spacing w:before="0" w:after="240"/>
        <w:jc w:val="left"/>
        <w:rPr/>
      </w:pPr>
      <w:r>
        <w:rPr>
          <w:rFonts w:ascii="Times New Roman" w:hAnsi="Times New Roman"/>
          <w:color w:val="000000"/>
          <w:sz w:val="24"/>
          <w:u w:val="single"/>
        </w:rPr>
        <w:t>Material Information</w:t>
      </w:r>
      <w:r>
        <w:rPr>
          <w:rFonts w:ascii="Times New Roman" w:hAnsi="Times New Roman"/>
          <w:color w:val="000000"/>
          <w:sz w:val="24"/>
        </w:rPr>
        <w:t>. Information is considered “material” if a reasonable investor would consider the information important in making a decision to buy, hold or sell securities. Information expected to affect the Company’s stock price, whether positive or negative, should be considered material. No bright-line standard exists for assessing materiality; rather, materiality is based on an assessment of all of the facts and circumstances and often is evaluated by enforcement authorities with the benefit of hindsight.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While defining all categories of material information is not possible, the following are some examples of information that ordinarily would be regarded as material: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projections of future earnings or losses, or other financial guidance;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changes to previously announced financial guidance, or the decision to suspend financial guidance;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a pending or proposed merger, acquisition or tender offer;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a pending or proposed acquisition or disposition of a significant asset;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a pending or proposed significant joint venture or licensing arrangement;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a Company restructuring;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significant related party transactions;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a change in dividend policy, the declaration of a stock split or an offering of additional securities;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bank borrowings or other financing transactions out of the ordinary course;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the establishment of a repurchase program for Company Securities;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a change in the Company’s pricing or cost structure;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major marketing changes;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a change in management;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a change in the auditor or notification that the auditor’s reports may no longer be relied upon;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pending or threatened significant litigation, or the resolution of such litigation;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significant regulatory developments;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results of clinical trials;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timelines for expected launches of new products;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impending bankruptcy or the existence of severe liquidity problems;</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the gain or loss of a significant customer or supplier;</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 xml:space="preserve">the imposition of a ban on trading in Company Securities or the securities of another company;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significant cybersecurity breaches.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7.2.</w:t>
      </w:r>
    </w:p>
    <w:p>
      <w:pPr>
        <w:pStyle w:val="TextBody"/>
        <w:bidi w:val="0"/>
        <w:spacing w:before="0" w:after="240"/>
        <w:jc w:val="left"/>
        <w:rPr/>
      </w:pPr>
      <w:r>
        <w:rPr>
          <w:rFonts w:ascii="Times New Roman" w:hAnsi="Times New Roman"/>
          <w:color w:val="000000"/>
          <w:sz w:val="24"/>
          <w:u w:val="single"/>
        </w:rPr>
        <w:t>Nonpublic Information</w:t>
      </w:r>
      <w:r>
        <w:rPr>
          <w:rFonts w:ascii="Times New Roman" w:hAnsi="Times New Roman"/>
          <w:color w:val="000000"/>
          <w:sz w:val="24"/>
        </w:rPr>
        <w:t>. Generally, information that has not been disclosed to the public is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Dow Jones “broad tape,” newswire services, a broadcast on widely available internet, radio or television programs, publication in a widely available newspaper, magazine or news website or public disclosure documents filed with or furnished to the Securities and Exchange Commission (the “</w:t>
      </w:r>
      <w:r>
        <w:rPr>
          <w:rFonts w:ascii="Times New Roman" w:hAnsi="Times New Roman"/>
          <w:color w:val="000000"/>
          <w:sz w:val="24"/>
          <w:u w:val="single"/>
        </w:rPr>
        <w:t>SEC</w:t>
      </w:r>
      <w:r>
        <w:rPr>
          <w:color w:val="000000"/>
        </w:rPr>
        <w:t>”</w:t>
      </w:r>
      <w:r>
        <w:rPr>
          <w:rFonts w:ascii="Times New Roman" w:hAnsi="Times New Roman"/>
          <w:color w:val="000000"/>
          <w:sz w:val="24"/>
        </w:rPr>
        <w:t xml:space="preserve">) that are available on the SEC’s website. By contrast, information would generally </w:t>
      </w:r>
      <w:r>
        <w:rPr>
          <w:rFonts w:ascii="Times New Roman" w:hAnsi="Times New Roman"/>
          <w:color w:val="000000"/>
          <w:sz w:val="24"/>
          <w:u w:val="single"/>
        </w:rPr>
        <w:t>not</w:t>
      </w:r>
      <w:r>
        <w:rPr>
          <w:color w:val="000000"/>
        </w:rPr>
        <w:t xml:space="preserve"> </w:t>
      </w:r>
      <w:r>
        <w:rPr>
          <w:rFonts w:ascii="Times New Roman" w:hAnsi="Times New Roman"/>
          <w:color w:val="000000"/>
          <w:sz w:val="24"/>
        </w:rPr>
        <w:t>be considered widely disseminated if it is available only to the Company’s employees.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Once information is widely disseminated, the investing public should be afforded sufficient time to absorb the information. As a general rule, information is considered nonpublic until the end of the next full trading day after the information is released. For example, if the Company announces financial results after market close on Monday or before trading begins on a Tuesday, the first time a director, officer or employee can buy or sell Company Securities is the opening of the market on Wednesday (assuming he or she is not aware of other material nonpublic information at that time). If the Company announces financial results after trading begins on that Tuesday, however, the first time a director, officer or employee can buy or sell Company Securities is the opening of the market on Thursday (again assuming he or she is not aware of other material nonpublic information at that time). Depending on the particular circumstances, the Company may determine that a longer or shorter period should apply to the release of specific material nonpublic information.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left"/>
        <w:rPr/>
      </w:pPr>
      <w:r>
        <w:rPr>
          <w:rFonts w:ascii="Times New Roman" w:hAnsi="Times New Roman"/>
          <w:color w:val="000000"/>
          <w:sz w:val="24"/>
          <w:u w:val="single"/>
        </w:rPr>
        <w:t>Transactions Under Company Plans</w:t>
      </w:r>
      <w:r>
        <w:rPr>
          <w:rFonts w:ascii="Times New Roman" w:hAnsi="Times New Roman"/>
          <w:color w:val="000000"/>
          <w:sz w:val="24"/>
        </w:rPr>
        <w:t>. This Policy does not apply in the case of the following transactions, except as specifically noted: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8.1.</w:t>
      </w:r>
    </w:p>
    <w:p>
      <w:pPr>
        <w:pStyle w:val="TextBody"/>
        <w:bidi w:val="0"/>
        <w:spacing w:before="0" w:after="240"/>
        <w:jc w:val="left"/>
        <w:rPr/>
      </w:pPr>
      <w:r>
        <w:rPr>
          <w:rFonts w:ascii="Times New Roman" w:hAnsi="Times New Roman"/>
          <w:color w:val="000000"/>
          <w:sz w:val="24"/>
          <w:u w:val="single"/>
        </w:rPr>
        <w:t>Stock Option Exercises</w:t>
      </w:r>
      <w:r>
        <w:rPr>
          <w:rFonts w:ascii="Times New Roman" w:hAnsi="Times New Roman"/>
          <w:color w:val="000000"/>
          <w:sz w:val="24"/>
        </w:rPr>
        <w:t>. This Policy does not apply to the exercise of a stock option acquired pursuant to a Company equity incentive plan or to a transaction in which a person has elected to have the Company withhold shares subject to an option award to satisfy tax withholding requirements. This Policy does, however, apply to any sale of shares as part of a broker-assisted cashless exercise of an option, or any other market sale for the purpose of generating the cash needed to pay the exercise price of or taxes associated with an option.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8.2.</w:t>
      </w:r>
    </w:p>
    <w:p>
      <w:pPr>
        <w:pStyle w:val="TextBody"/>
        <w:bidi w:val="0"/>
        <w:spacing w:before="0" w:after="240"/>
        <w:jc w:val="left"/>
        <w:rPr/>
      </w:pPr>
      <w:r>
        <w:rPr>
          <w:rFonts w:ascii="Times New Roman" w:hAnsi="Times New Roman"/>
          <w:color w:val="000000"/>
          <w:sz w:val="24"/>
          <w:u w:val="single"/>
        </w:rPr>
        <w:t>Restricted Stock and Similar Awards</w:t>
      </w:r>
      <w:r>
        <w:rPr>
          <w:rFonts w:ascii="Times New Roman" w:hAnsi="Times New Roman"/>
          <w:color w:val="000000"/>
          <w:sz w:val="24"/>
        </w:rPr>
        <w:t xml:space="preserve">. This Policy does not apply to the vesting of restricted stock, the settlement of restricted stock units or similar awards or to a transaction in which there is an election to have the Company withhold shares to satisfy tax withholding requirements upon the vesting of any restricted stock or the vesting or </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settlement of any restricted stock unit. This Policy does apply, however, to any market sale of shares received upon the settlement of any restricted stock unit or similar award.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8.3.</w:t>
      </w:r>
    </w:p>
    <w:p>
      <w:pPr>
        <w:pStyle w:val="TextBody"/>
        <w:bidi w:val="0"/>
        <w:spacing w:before="0" w:after="240"/>
        <w:jc w:val="left"/>
        <w:rPr/>
      </w:pPr>
      <w:r>
        <w:rPr>
          <w:rFonts w:ascii="Times New Roman" w:hAnsi="Times New Roman"/>
          <w:color w:val="000000"/>
          <w:sz w:val="24"/>
          <w:u w:val="single"/>
        </w:rPr>
        <w:t>Employee Stock Purchase Plan</w:t>
      </w:r>
      <w:r>
        <w:rPr>
          <w:rFonts w:ascii="Times New Roman" w:hAnsi="Times New Roman"/>
          <w:color w:val="000000"/>
          <w:sz w:val="24"/>
        </w:rPr>
        <w:t>. This Policy does not apply to periodic purchases under a Company employee stock purchase plan, if such plan exists, that are made as the result of an election made at the beginning of the purchase period. This Policy would apply, however, to an initial decision to participate in the plan or a decision to increase the level of contribution in a subsequent purchase period. The policy also applies to any sales of shares purchased under the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8.4.</w:t>
      </w:r>
    </w:p>
    <w:p>
      <w:pPr>
        <w:pStyle w:val="TextBody"/>
        <w:bidi w:val="0"/>
        <w:spacing w:before="0" w:after="240"/>
        <w:jc w:val="left"/>
        <w:rPr/>
      </w:pPr>
      <w:r>
        <w:rPr>
          <w:rFonts w:ascii="Times New Roman" w:hAnsi="Times New Roman"/>
          <w:color w:val="000000"/>
          <w:sz w:val="24"/>
          <w:u w:val="single"/>
        </w:rPr>
        <w:t>401(k) Plan</w:t>
      </w:r>
      <w:r>
        <w:rPr>
          <w:rFonts w:ascii="Times New Roman" w:hAnsi="Times New Roman"/>
          <w:color w:val="000000"/>
          <w:sz w:val="24"/>
        </w:rPr>
        <w:t>. This Policy does not apply to purchases of Company Securities in the Company’s or its subsidiaries’ 401(k) plans as a result of periodic contributions made pursuant to payroll deduction. The Policy does apply, however, to initial elections to participate, and increases or decreases in the level of participation, in a Company stock fund and transfers in or out of a Company stock fund (including in connection with a plan loan).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left"/>
        <w:rPr/>
      </w:pPr>
      <w:r>
        <w:rPr>
          <w:rFonts w:ascii="Times New Roman" w:hAnsi="Times New Roman"/>
          <w:color w:val="000000"/>
          <w:sz w:val="24"/>
          <w:u w:val="single"/>
        </w:rPr>
        <w:t>Transactions with the Company</w:t>
      </w:r>
      <w:r>
        <w:rPr>
          <w:rFonts w:ascii="Times New Roman" w:hAnsi="Times New Roman"/>
          <w:color w:val="000000"/>
          <w:sz w:val="24"/>
        </w:rPr>
        <w:t>. Any purchase of Company Securities from the Company or sales of Company Securities to the Company not already identified in Section 8 are not subject to this Policy.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left"/>
        <w:rPr/>
      </w:pPr>
      <w:r>
        <w:rPr>
          <w:rFonts w:ascii="Times New Roman" w:hAnsi="Times New Roman"/>
          <w:color w:val="000000"/>
          <w:sz w:val="24"/>
          <w:u w:val="single"/>
        </w:rPr>
        <w:t>Transactions Not Involving a Purchase or Sale</w:t>
      </w:r>
      <w:r>
        <w:rPr>
          <w:rFonts w:ascii="Times New Roman" w:hAnsi="Times New Roman"/>
          <w:color w:val="000000"/>
          <w:sz w:val="24"/>
        </w:rPr>
        <w:t xml:space="preserve">. </w:t>
      </w:r>
      <w:r>
        <w:rPr>
          <w:rFonts w:ascii="Times New Roman" w:hAnsi="Times New Roman"/>
          <w:i/>
          <w:color w:val="000000"/>
          <w:sz w:val="24"/>
        </w:rPr>
        <w:t xml:space="preserve">Bona fide </w:t>
      </w:r>
      <w:r>
        <w:rPr>
          <w:rFonts w:ascii="Times New Roman" w:hAnsi="Times New Roman"/>
          <w:color w:val="000000"/>
          <w:sz w:val="24"/>
        </w:rPr>
        <w:t>gifts are not transactions subject to this Policy, unless (i) the person making the gift knew or was reckless in not knowing that the recipient would sell the Company Securities while the director, officer, or employee (or Other Covered Person) is aware of material nonpublic information, or (ii) the person making the gift is subject to the trading restrictions specified below under the heading “Trading Window and Pre-Clearance Procedures”.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addition, transactions in mutual funds and other broad-based indices or securities that are invested in Company Securities are not transactions subject to this Policy.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pPr>
      <w:r>
        <w:rPr>
          <w:rFonts w:ascii="Times New Roman" w:hAnsi="Times New Roman"/>
          <w:color w:val="000000"/>
          <w:sz w:val="24"/>
          <w:u w:val="single"/>
        </w:rPr>
        <w:t>Special and Prohibited Transactions</w:t>
      </w:r>
      <w:r>
        <w:rPr>
          <w:rFonts w:ascii="Times New Roman" w:hAnsi="Times New Roman"/>
          <w:color w:val="000000"/>
          <w:sz w:val="24"/>
        </w:rPr>
        <w:t>. The Company has determined that the following transactions present a heightened legal risk and the potential appearance of improper or inappropriate conduct. The Company’s policy, consequently, is that the persons identified below must abide by the following restrictions: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11.1.</w:t>
      </w:r>
    </w:p>
    <w:p>
      <w:pPr>
        <w:pStyle w:val="TextBody"/>
        <w:bidi w:val="0"/>
        <w:spacing w:before="0" w:after="240"/>
        <w:jc w:val="left"/>
        <w:rPr/>
      </w:pPr>
      <w:r>
        <w:rPr>
          <w:rFonts w:ascii="Times New Roman" w:hAnsi="Times New Roman"/>
          <w:color w:val="000000"/>
          <w:sz w:val="24"/>
          <w:u w:val="single"/>
        </w:rPr>
        <w:t>Short-Term Trading</w:t>
      </w:r>
      <w:r>
        <w:rPr>
          <w:rFonts w:ascii="Times New Roman" w:hAnsi="Times New Roman"/>
          <w:color w:val="000000"/>
          <w:sz w:val="24"/>
        </w:rPr>
        <w:t xml:space="preserve">. Short-term trading of Company Securities may be distracting to the person engaging in such trades and may unduly focus such person on the Company’s short-term performance instead of the Company’s long-term objectives. For these reasons, any director or executive officer of the Company who purchases Company Securities may not sell any Company Securities of the same class during the six months following the purchase (or vice versa). In accordance with Section 16(b) of the Securities Exchange Act of 1934, as amended (the “Exchange Act”), any profits received from prohibited short-term trades must be disgorged to the Company.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11.2.</w:t>
      </w:r>
    </w:p>
    <w:p>
      <w:pPr>
        <w:pStyle w:val="TextBody"/>
        <w:bidi w:val="0"/>
        <w:spacing w:before="0" w:after="240"/>
        <w:jc w:val="left"/>
        <w:rPr/>
      </w:pPr>
      <w:r>
        <w:rPr>
          <w:rFonts w:ascii="Times New Roman" w:hAnsi="Times New Roman"/>
          <w:color w:val="000000"/>
          <w:sz w:val="24"/>
          <w:u w:val="single"/>
        </w:rPr>
        <w:t>Short Sales</w:t>
      </w:r>
      <w:r>
        <w:rPr>
          <w:rFonts w:ascii="Times New Roman" w:hAnsi="Times New Roman"/>
          <w:color w:val="000000"/>
          <w:sz w:val="24"/>
        </w:rPr>
        <w:t>. Short sales of Company Securities (</w:t>
      </w:r>
      <w:r>
        <w:rPr>
          <w:rFonts w:ascii="Times New Roman" w:hAnsi="Times New Roman"/>
          <w:i/>
          <w:color w:val="000000"/>
          <w:sz w:val="24"/>
        </w:rPr>
        <w:t xml:space="preserve">i.e., </w:t>
      </w:r>
      <w:r>
        <w:rPr>
          <w:rFonts w:ascii="Times New Roman" w:hAnsi="Times New Roman"/>
          <w:color w:val="000000"/>
          <w:sz w:val="24"/>
        </w:rPr>
        <w:t xml:space="preserve">the sale of a security that the seller does not own) may reduce a seller’s incentive to seek to improve the Company’s performance, if the seller could benefit from decline in value of Company </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Securities. In addition, short sales may evidence an expectation on the part of the seller that the securities will decline in value and, therefore, have the potential to signal to the market that the seller lacks confidence in the Company’s prospects. For these reasons, persons covered by this Policy are prohibited from engaging in any short sales of Company Securities. In addition, Section 16(c) of the Exchange Act prohibits executive officers and directors from engaging in short sales. Short sales arising from certain types of hedging transactions are also governed by the paragraph below captioned “Hedging Transactions.”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11.3.</w:t>
      </w:r>
    </w:p>
    <w:p>
      <w:pPr>
        <w:pStyle w:val="TextBody"/>
        <w:bidi w:val="0"/>
        <w:spacing w:before="0" w:after="240"/>
        <w:jc w:val="left"/>
        <w:rPr/>
      </w:pPr>
      <w:r>
        <w:rPr>
          <w:rFonts w:ascii="Times New Roman" w:hAnsi="Times New Roman"/>
          <w:color w:val="000000"/>
          <w:sz w:val="24"/>
          <w:u w:val="single"/>
        </w:rPr>
        <w:t>Publicly Traded Options</w:t>
      </w:r>
      <w:r>
        <w:rPr>
          <w:rFonts w:ascii="Times New Roman" w:hAnsi="Times New Roman"/>
          <w:color w:val="000000"/>
          <w:sz w:val="24"/>
        </w:rPr>
        <w:t>. Given the relatively short term of publicly traded options, transactions in options may create the appearance that a director, officer or employee is trading based on material nonpublic information and focus such person’s attention on short-term performance at the expense of the Company’s long-term objectives. Accordingly, persons covered by this Policy are prohibited from engaging in any transactions in put options, call options or other derivative securities on an exchange or in any other organized market.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11.4.</w:t>
      </w:r>
    </w:p>
    <w:p>
      <w:pPr>
        <w:pStyle w:val="TextBody"/>
        <w:bidi w:val="0"/>
        <w:spacing w:before="0" w:after="240"/>
        <w:jc w:val="left"/>
        <w:rPr/>
      </w:pPr>
      <w:r>
        <w:rPr>
          <w:rFonts w:ascii="Times New Roman" w:hAnsi="Times New Roman"/>
          <w:color w:val="000000"/>
          <w:sz w:val="24"/>
          <w:u w:val="single"/>
        </w:rPr>
        <w:t>Hedging Transactions</w:t>
      </w:r>
      <w:r>
        <w:rPr>
          <w:rFonts w:ascii="Times New Roman" w:hAnsi="Times New Roman"/>
          <w:color w:val="000000"/>
          <w:sz w:val="24"/>
        </w:rPr>
        <w:t>. Hedging or monetization transactions can be accomplished through a number of possible mechanisms, including through the use of financial instruments such as options, prepaid variable forwards, equity swaps, collars and exchange funds. Such hedging transactions may permit a director, officer or employee to continue to own Company Securities obtained through employee benefit plans or otherwise without the full risks and rewards of ownership. When that occurs, such individual may no longer have the same objectives as the Company’s other shareholders. Therefore, persons covered by this Policy are prohibited from engaging in any such transactions.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11.5.</w:t>
      </w:r>
    </w:p>
    <w:p>
      <w:pPr>
        <w:pStyle w:val="TextBody"/>
        <w:bidi w:val="0"/>
        <w:spacing w:before="0" w:after="240"/>
        <w:jc w:val="left"/>
        <w:rPr/>
      </w:pPr>
      <w:r>
        <w:rPr>
          <w:rFonts w:ascii="Times New Roman" w:hAnsi="Times New Roman"/>
          <w:color w:val="000000"/>
          <w:sz w:val="24"/>
          <w:u w:val="single"/>
        </w:rPr>
        <w:t>Margin Accounts and Pledged Securities</w:t>
      </w:r>
      <w:r>
        <w:rPr>
          <w:rFonts w:ascii="Times New Roman" w:hAnsi="Times New Roman"/>
          <w:color w:val="000000"/>
          <w:sz w:val="24"/>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persons covered by this Policy are prohibited from holding Company Securities in a margin account or otherwise pledging Company Securities as collateral for a loan. An exception may be granted where an individual wishes to pledge Company Securities as collateral for a loan (not including margin debt) and clearly demonstrates the financial capacity to repay the loan without resort to the pledged securities. If an individual wishes to pledge Company Securities as collateral for a loan, he or she shall submit a request for approval to the Compliance Officer at least two weeks prior to the proposed execution of documents evidencing the proposed pledge.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11.6.</w:t>
      </w:r>
    </w:p>
    <w:p>
      <w:pPr>
        <w:pStyle w:val="TextBody"/>
        <w:bidi w:val="0"/>
        <w:spacing w:before="0" w:after="240"/>
        <w:jc w:val="left"/>
        <w:rPr/>
      </w:pPr>
      <w:r>
        <w:rPr>
          <w:rFonts w:ascii="Times New Roman" w:hAnsi="Times New Roman"/>
          <w:color w:val="000000"/>
          <w:sz w:val="24"/>
          <w:u w:val="single"/>
        </w:rPr>
        <w:t>Standing and Limit Orders</w:t>
      </w:r>
      <w:r>
        <w:rPr>
          <w:rFonts w:ascii="Times New Roman" w:hAnsi="Times New Roman"/>
          <w:color w:val="000000"/>
          <w:sz w:val="24"/>
        </w:rPr>
        <w:t xml:space="preserve">. Standing and limit orders (except standing and limit orders under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possession of material nonpublic information. The Company therefore discourages placing standing or limit orders on Company Securities other than pursuant to Rule 10b5-1 Plans. If a person subject to this Policy determines that they must use a standing order or limit order, that person shall contact the Compliance Officer for clearance to place the order.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left"/>
        <w:rPr/>
      </w:pPr>
      <w:r>
        <w:rPr>
          <w:rFonts w:ascii="Times New Roman" w:hAnsi="Times New Roman"/>
          <w:color w:val="000000"/>
          <w:sz w:val="24"/>
          <w:u w:val="single"/>
        </w:rPr>
        <w:t>Rule 10b5-1 Plans</w:t>
      </w:r>
      <w:r>
        <w:rPr>
          <w:rFonts w:ascii="Times New Roman" w:hAnsi="Times New Roman"/>
          <w:color w:val="000000"/>
          <w:sz w:val="24"/>
        </w:rPr>
        <w:t>. Rule 10b5-1 under the Exchange Act provides a defense from insider trading liability under Rule 10b-5. In order to be eligible to rely on this defense, a person subject to this Policy must enter into a Rule 10b5-1 plan for transactions in Company Securities that meets certain conditions specified in the rule (a “</w:t>
      </w:r>
      <w:r>
        <w:rPr>
          <w:rFonts w:ascii="Times New Roman" w:hAnsi="Times New Roman"/>
          <w:color w:val="000000"/>
          <w:sz w:val="24"/>
          <w:u w:val="single"/>
        </w:rPr>
        <w:t>Rule 10b5-1 Plan</w:t>
      </w:r>
      <w:r>
        <w:rPr>
          <w:color w:val="000000"/>
        </w:rPr>
        <w:t>”</w:t>
      </w:r>
      <w:r>
        <w:rPr>
          <w:rFonts w:ascii="Times New Roman" w:hAnsi="Times New Roman"/>
          <w:color w:val="000000"/>
          <w:sz w:val="24"/>
        </w:rPr>
        <w:t xml:space="preserve">). If the plan meets the requirements of Rule 10b5-1, Company Securities may be purchased or sold without regard to certain insider trading restrictions. A 10b5-1 Plan must be entered into in good faith and at a time when the person entering into the plan is not aware of material nonpublic information and cannot be adopted during the quarterly Blackout Periods.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comply with this Policy, any adoption of Rule 10b5-1 Plan, or amendments to, or suspensions or terminations of, a Rule 10b5-1 Plan, must be approved by the Compliance Officer and meet the requirements of Rule 10b5-1. Any Rule 10b5-1 Plan to be entered into or amended, suspended, or terminated by the Compliance Officer must be approved by the Chief Financial Officer or the Chief Executive Officer (or other designated officer).</w:t>
      </w:r>
    </w:p>
    <w:p>
      <w:pPr>
        <w:pStyle w:val="TextBody"/>
        <w:bidi w:val="0"/>
        <w:spacing w:before="0" w:after="240"/>
        <w:jc w:val="left"/>
        <w:rPr>
          <w:rFonts w:ascii="Times New Roman" w:hAnsi="Times New Roman"/>
          <w:sz w:val="20"/>
        </w:rPr>
      </w:pPr>
      <w:r>
        <w:rPr>
          <w:rFonts w:ascii="Times New Roman" w:hAnsi="Times New Roman"/>
          <w:color w:val="000000"/>
          <w:sz w:val="24"/>
        </w:rPr>
        <w:t>Rule 10b5-1 Plans shall be considered by the Compliance Officer on a case-by-case basis. Any Rule 10b5-1 Plan shall be submitted to the Compliance Officer for approval at least five days prior to the entry into the Rule 10b5-1 Plan.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quarter, the Company is required to publicly disclose when directors or officers adopt, terminate or make certain modifications to Rule 10b5-1 Plans and other trading plans for Company Securities and to provide a description of the material terms of each plan. Therefore, directors and officers must provide the Compliance Officer with (i) the final executed copy of any 10b5-1 Plan, (ii) any other trading plan for Company Securities and (iii) any amendment to any such Rule 10b5-1 Plan or other trading plan, in each case within two business days of the adoption thereof.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left"/>
        <w:rPr/>
      </w:pPr>
      <w:r>
        <w:rPr>
          <w:rFonts w:ascii="Times New Roman" w:hAnsi="Times New Roman"/>
          <w:color w:val="000000"/>
          <w:sz w:val="24"/>
          <w:u w:val="single"/>
        </w:rPr>
        <w:t>Trading Window and Pre-Clearance Procedures</w:t>
      </w:r>
      <w:r>
        <w:rPr>
          <w:rFonts w:ascii="Times New Roman" w:hAnsi="Times New Roman"/>
          <w:color w:val="000000"/>
          <w:sz w:val="24"/>
        </w:rPr>
        <w:t>. To help prevent inadvertent violations of the federal securities laws and to avoid even the appearance of trading on the basis of inside information, the Board has adopted an Addendum to this Policy that applies to directors, executive officers subject to Section 16 of the Exchange Act and other designated persons who have regular access to material nonpublic information about the Company. The Company shall notify those individuals who are subject to the Addendum.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Addendum generally prohibits persons and entities covered by it from trading in Company Securities, except during the trading windows specified in the Addendum. Directors, and Section 16 executive officers also shall pre-clear all transactions in Company Securities with the Compliance Officer.</w:t>
      </w:r>
    </w:p>
    <w:p>
      <w:pPr>
        <w:pStyle w:val="TextBody"/>
        <w:bidi w:val="0"/>
        <w:spacing w:before="0" w:after="240"/>
        <w:jc w:val="left"/>
        <w:rPr>
          <w:rFonts w:ascii="Times New Roman" w:hAnsi="Times New Roman"/>
          <w:sz w:val="20"/>
        </w:rPr>
      </w:pPr>
      <w:r>
        <w:rPr>
          <w:rFonts w:ascii="Times New Roman" w:hAnsi="Times New Roman"/>
          <w:color w:val="000000"/>
          <w:sz w:val="24"/>
        </w:rPr>
        <w:t>In addition, from time to time, the Company may be involved in activities—such as proposed acquisitions—that are material and that are known only by a few people at the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Company. For those individuals whose duties at the Company cause them to be aware of such activity, the Compliance Officer shall notify them of an event-specific trading restriction, and those individuals shall not be permitted to trade in Company Securities during such trading restriction. The existence of an event-specific trading restriction shall not be widely announced and should not be communicated to anyone. Even if individuals are not notified of an event-specific trading restriction, they should not trade in Company Securities if they are aware of material nonpublic information.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left"/>
        <w:rPr/>
      </w:pPr>
      <w:r>
        <w:rPr>
          <w:rFonts w:ascii="Times New Roman" w:hAnsi="Times New Roman"/>
          <w:color w:val="000000"/>
          <w:sz w:val="24"/>
          <w:u w:val="single"/>
        </w:rPr>
        <w:t>Post-Termination Transactions</w:t>
      </w:r>
      <w:r>
        <w:rPr>
          <w:rFonts w:ascii="Times New Roman" w:hAnsi="Times New Roman"/>
          <w:color w:val="000000"/>
          <w:sz w:val="24"/>
        </w:rPr>
        <w:t>. 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left"/>
        <w:rPr/>
      </w:pPr>
      <w:r>
        <w:rPr>
          <w:rFonts w:ascii="Times New Roman" w:hAnsi="Times New Roman"/>
          <w:color w:val="000000"/>
          <w:sz w:val="24"/>
          <w:u w:val="single"/>
        </w:rPr>
        <w:t>Unauthorized Disclosure</w:t>
      </w:r>
      <w:r>
        <w:rPr>
          <w:rFonts w:ascii="Times New Roman" w:hAnsi="Times New Roman"/>
          <w:color w:val="000000"/>
          <w:sz w:val="24"/>
        </w:rPr>
        <w:t>. Maintaining the confidentiality of Company information is essential for competitive, security and other business reasons, as well as to comply with securities laws. Directors, officers and employees should treat all information they learn about the Company or its business plans in connection with their employment as confidential and proprietary to the Company. Inadvertent disclosure of confidential or inside information may expose the Company and individuals to significant risk of investigation and litigation.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timing and nature of the Company’s disclosure of material information to outsiders is subject to legal rules. Accordingly, it is important that responses to inquiries regarding the Company from the press, investment analysts or others in the financial community be made on the Company’s behalf only through authorized individuals, as expressly identified by the Chief Compliance Officer.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left"/>
        <w:rPr/>
      </w:pPr>
      <w:r>
        <w:rPr>
          <w:rFonts w:ascii="Times New Roman" w:hAnsi="Times New Roman"/>
          <w:color w:val="000000"/>
          <w:sz w:val="24"/>
          <w:u w:val="single"/>
        </w:rPr>
        <w:t>Consequences of Violations</w:t>
      </w:r>
      <w:r>
        <w:rPr>
          <w:rFonts w:ascii="Times New Roman" w:hAnsi="Times New Roman"/>
          <w:color w:val="000000"/>
          <w:sz w:val="24"/>
        </w:rPr>
        <w:t>. The purchase or sale of securities while aware of material nonpublic information, or the disclosure of material nonpublic information to others who then trade in the Company’s Securities, is prohibited by U.S. federal and state laws. Insider trading violations are pursued vigorously by the SEC, U.S. Attorneys and state enforcement authorities as well as foreign regulatory authorities.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addition, an individual’s failure to comply with this Policy may subject the individual to Company-imposed sanctions, including dismissal for cause, whether or not the employee’s failure to comply results in a violation of law. In addition to the formal sanctions summarized above, a violation of law, or even an SEC investigation that does not result in prosecution, can tarnish a person’s reputation and irreparably damage a career.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left"/>
        <w:rPr/>
      </w:pPr>
      <w:r>
        <w:rPr>
          <w:rFonts w:ascii="Times New Roman" w:hAnsi="Times New Roman"/>
          <w:color w:val="000000"/>
          <w:sz w:val="24"/>
          <w:u w:val="single"/>
        </w:rPr>
        <w:t>Company Assistance</w:t>
      </w:r>
      <w:r>
        <w:rPr>
          <w:rFonts w:ascii="Times New Roman" w:hAnsi="Times New Roman"/>
          <w:color w:val="000000"/>
          <w:sz w:val="24"/>
        </w:rPr>
        <w:t xml:space="preserve">. Any person who has a question about this Policy or its application to any proposed transaction may obtain additional guidance from the Compliance </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Officer, who can be reached by telephone at (978) 552-0955 or by email at aranganath@transmedics.com.</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Effective: November 2, 2023</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Addendum to Insider Trading Policy</w:t>
      </w:r>
    </w:p>
    <w:p>
      <w:pPr>
        <w:pStyle w:val="TextBody"/>
        <w:bidi w:val="0"/>
        <w:spacing w:before="0" w:after="240"/>
        <w:jc w:val="left"/>
        <w:rPr>
          <w:rFonts w:ascii="Times New Roman" w:hAnsi="Times New Roman"/>
          <w:sz w:val="20"/>
        </w:rPr>
      </w:pPr>
      <w:r>
        <w:rPr>
          <w:rFonts w:ascii="Times New Roman" w:hAnsi="Times New Roman"/>
          <w:color w:val="000000"/>
          <w:sz w:val="24"/>
        </w:rPr>
        <w:t>The Company has established additional procedures to assist in the administration of the Insider Trading Policy, to facilitate compliance with laws prohibiting insider trading while in possession of material nonpublic information and to avoid the appearance of any impropriety. These additional procedures are applicable only to the Company’s directors, executive officers subject to Section 16 of the Exchange Act (“</w:t>
      </w:r>
      <w:r>
        <w:rPr>
          <w:rFonts w:ascii="Times New Roman" w:hAnsi="Times New Roman"/>
          <w:color w:val="000000"/>
          <w:sz w:val="24"/>
          <w:u w:val="single"/>
        </w:rPr>
        <w:t>Section 16 executive officers</w:t>
      </w:r>
      <w:r>
        <w:rPr>
          <w:rFonts w:ascii="Times New Roman" w:hAnsi="Times New Roman"/>
          <w:color w:val="000000"/>
          <w:sz w:val="20"/>
        </w:rPr>
        <w:t>”</w:t>
      </w:r>
      <w:r>
        <w:rPr>
          <w:rFonts w:ascii="Times New Roman" w:hAnsi="Times New Roman"/>
          <w:color w:val="000000"/>
          <w:sz w:val="24"/>
        </w:rPr>
        <w:t>) and other persons who are periodically designated by the Compliance Officer or his or her delegate as being subject to these additional procedures (as well as their family members, household members and entities whose transactions are subject to the Insider Trading Policy). The Compliance Officer shall notify those individuals who are subject to this Addendum. All capitalized terms used herein and not otherwise defined shall have the respective meanings set forth in the Policy.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all cases, the responsibility for determining whether an individual is in possession of material nonpublic information rests with that individual, and any action on the part of the Company, the Compliance Officer or any other employee or director pursuant to the Insider Trading Policy, including this Addendum (or otherwise) does not in any way constitute legal advice or insulate an individual from liability under applicable securities laws.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pPr>
      <w:r>
        <w:rPr>
          <w:rFonts w:ascii="Times New Roman" w:hAnsi="Times New Roman"/>
          <w:color w:val="000000"/>
          <w:sz w:val="24"/>
          <w:u w:val="single"/>
        </w:rPr>
        <w:t>Pre-Clearance Procedures</w:t>
      </w:r>
      <w:r>
        <w:rPr>
          <w:rFonts w:ascii="Times New Roman" w:hAnsi="Times New Roman"/>
          <w:color w:val="000000"/>
          <w:sz w:val="24"/>
        </w:rPr>
        <w:t>. Directors and Section 16 executive officers a (as well as their family members, household members and entities whose transactions are subject to the Insider Trading Policy) may not engage in any transaction in Company Securities at any time (other than as specified by the Insider Trading Policy, including this Addendum), even if not subject to a Blackout Period, without first obtaining pre-clearance of the transaction from the Compliance Officer. A request for pre-clearance should be submitted to the Compliance Officer at least two trading days in advance of the proposed transaction. The Compliance Officer is under no obligation to approve a transaction submitted for pre-clearance, and may determine not to permit the transaction for any or no reason. If a person seeks pre-clearance and permission to engage in the transaction is denied, then he or she should refrain from initiating any transaction in Company Securities, and should not inform any other person of the restriction.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When a request for pre-clearance is made, the requestor should carefully consider whether he or she may be aware of any material nonpublic information about the Company and should describe fully those circumstances to the Compliance Officer. The requestor also should indicate whether he or she has effected any non-exempt “opposite-way” transactions within the past six months, and should be prepared to report the proposed transaction on an appropriate Form 4 or Form 5, if applicable. The requestor should also be prepared to comply with Rule 144 under the Securities Act of 1933, as amended, and file a Form 144, if necessary, at the time of any sale. After receiving clearance to engage in a trade from the Compliance Officer, the requestor shall complete the proposed trade within two trading days or make a new trading request.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pPr>
      <w:r>
        <w:rPr>
          <w:rFonts w:ascii="Times New Roman" w:hAnsi="Times New Roman"/>
          <w:color w:val="000000"/>
          <w:sz w:val="24"/>
          <w:u w:val="single"/>
        </w:rPr>
        <w:t>Quarterly Trading Restrictions</w:t>
      </w:r>
      <w:r>
        <w:rPr>
          <w:rFonts w:ascii="Times New Roman" w:hAnsi="Times New Roman"/>
          <w:color w:val="000000"/>
          <w:sz w:val="24"/>
        </w:rPr>
        <w:t xml:space="preserve">. Directors, Section 16 executive officers and other persons who are designated by the Compliance Officer or his or her delegate as being subject to this Addendum (as well as their family members, household members and entities whose transactions are subject to the Insider Trading Policy) may not engage in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Times New Roman" w:hAnsi="Times New Roman"/>
          <w:color w:val="000000"/>
          <w:sz w:val="24"/>
        </w:rPr>
        <w:t>any transaction in Company Securities (other than as specified by the Insider Trading Policy, including this Addendum) during a “</w:t>
      </w:r>
      <w:r>
        <w:rPr>
          <w:rFonts w:ascii="Times New Roman" w:hAnsi="Times New Roman"/>
          <w:color w:val="000000"/>
          <w:sz w:val="24"/>
          <w:u w:val="single"/>
        </w:rPr>
        <w:t>Blackout Period</w:t>
      </w:r>
      <w:r>
        <w:rPr>
          <w:color w:val="000000"/>
        </w:rPr>
        <w:t xml:space="preserve">” </w:t>
      </w:r>
      <w:r>
        <w:rPr>
          <w:rFonts w:ascii="Times New Roman" w:hAnsi="Times New Roman"/>
          <w:color w:val="000000"/>
          <w:sz w:val="24"/>
        </w:rPr>
        <w:t>the timing of which will be communicated to each individual subject to this Addendum by the Compliance Officer from time to time as applicable..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pPr>
      <w:r>
        <w:rPr>
          <w:rFonts w:ascii="Times New Roman" w:hAnsi="Times New Roman"/>
          <w:color w:val="000000"/>
          <w:sz w:val="24"/>
          <w:u w:val="single"/>
        </w:rPr>
        <w:t>Exceptions</w:t>
      </w:r>
      <w:r>
        <w:rPr>
          <w:rFonts w:ascii="Times New Roman" w:hAnsi="Times New Roman"/>
          <w:color w:val="000000"/>
          <w:sz w:val="24"/>
        </w:rPr>
        <w:t>. The quarterly trading restrictions described above do not apply to those transactions to which the Insider Trading Policy does not apply, as described in the Insider Trading Policy under the headings “Transactions Under Company Plans,” “Transactions Not Involving a Purchase or Sale” and “Transactions with the Company.” Further, the requirement for pre-clearance, the quarterly trading restrictions and event-specific trading restrictions do not apply to transactions conducted pursuant to approved Rule 10b5-1 Plans described in the Insider Trading Policy under the heading “Rule 10b5-1 Plans.”</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Effective: November 2, 2023</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5" w:name="tmdx-ex21_1.htm"/>
      <w:bookmarkStart w:id="56" w:name="kstmdxex21_1"/>
      <w:bookmarkEnd w:id="55"/>
      <w:bookmarkEnd w:id="56"/>
      <w:r>
        <w:rPr>
          <w:rFonts w:ascii="Times New Roman" w:hAnsi="Times New Roman"/>
          <w:b/>
          <w:color w:val="000000"/>
          <w:sz w:val="20"/>
        </w:rPr>
        <w:t>Exhibit 21.1</w:t>
      </w:r>
      <w:r>
        <w:br w:type="page"/>
      </w:r>
    </w:p>
    <w:p>
      <w:pPr>
        <w:pStyle w:val="TextBody"/>
        <w:bidi w:val="0"/>
        <w:jc w:val="right"/>
        <w:rPr/>
      </w:pPr>
      <w:r>
        <w:rPr>
          <w:rFonts w:cs="Tahoma;sans-serif"/>
          <w:color w:val="000000"/>
          <w:szCs w:val="20"/>
        </w:rPr>
        <w:t>﻿</w:t>
      </w:r>
      <w:r>
        <w:rPr>
          <w:rFonts w:ascii="Times New Roman" w:hAnsi="Times New Roman"/>
          <w:color w:val="000000"/>
          <w:sz w:val="20"/>
        </w:rPr>
        <w:b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Subsidiaries of the Registrant</w:t>
      </w:r>
    </w:p>
    <w:p>
      <w:pPr>
        <w:pStyle w:val="TextBody"/>
        <w:bidi w:val="0"/>
        <w:jc w:val="left"/>
        <w:rPr/>
      </w:pPr>
      <w:r>
        <w:rPr>
          <w:rFonts w:cs="Tahoma;sans-serif"/>
          <w:color w:val="000000"/>
          <w:szCs w:val="20"/>
        </w:rPr>
        <w:t>﻿</w:t>
      </w:r>
      <w:r>
        <w:rPr>
          <w:rFonts w:ascii="Times New Roman" w:hAnsi="Times New Roman"/>
          <w:color w:val="000000"/>
          <w:sz w:val="20"/>
        </w:rPr>
        <w:br/>
        <w:t> </w:t>
      </w:r>
    </w:p>
    <w:tbl>
      <w:tblPr>
        <w:tblW w:w="4303" w:type="dxa"/>
        <w:jc w:val="left"/>
        <w:tblInd w:w="0" w:type="dxa"/>
        <w:tblLayout w:type="fixed"/>
        <w:tblCellMar>
          <w:top w:w="28" w:type="dxa"/>
          <w:left w:w="28" w:type="dxa"/>
          <w:bottom w:w="28" w:type="dxa"/>
          <w:right w:w="28" w:type="dxa"/>
        </w:tblCellMar>
      </w:tblPr>
      <w:tblGrid>
        <w:gridCol w:w="2671"/>
        <w:gridCol w:w="146"/>
        <w:gridCol w:w="1486"/>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67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Subsidiary</w:t>
            </w:r>
          </w:p>
        </w:tc>
        <w:tc>
          <w:tcPr>
            <w:tcW w:w="1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c>
          <w:tcPr>
            <w:tcW w:w="148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Jurisdiction</w:t>
            </w:r>
          </w:p>
        </w:tc>
      </w:tr>
      <w:tr>
        <w:trPr/>
        <w:tc>
          <w:tcPr>
            <w:tcW w:w="2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TransMedics, Inc.</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2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TransMedics, B.V.</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Netherlands</w:t>
            </w:r>
          </w:p>
        </w:tc>
      </w:tr>
      <w:tr>
        <w:trPr/>
        <w:tc>
          <w:tcPr>
            <w:tcW w:w="2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TransMedics Pty Ltd.</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r>
      <w:tr>
        <w:trPr/>
        <w:tc>
          <w:tcPr>
            <w:tcW w:w="2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TransMedics GmbH</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2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Summit Aviation, Inc.</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Montana</w:t>
            </w:r>
          </w:p>
        </w:tc>
      </w:tr>
      <w:tr>
        <w:trPr/>
        <w:tc>
          <w:tcPr>
            <w:tcW w:w="2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Northside Property Group, LLC</w:t>
            </w:r>
          </w:p>
        </w:tc>
        <w:tc>
          <w:tcPr>
            <w:tcW w:w="1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Montana</w:t>
            </w:r>
          </w:p>
        </w:tc>
      </w:tr>
    </w:tbl>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7" w:name="tmdx-ex23_1.htm"/>
      <w:bookmarkStart w:id="58" w:name="kstmdxex23_1"/>
      <w:bookmarkEnd w:id="57"/>
      <w:bookmarkEnd w:id="58"/>
      <w:r>
        <w:rPr>
          <w:rFonts w:ascii="Times New Roman" w:hAnsi="Times New Roman"/>
          <w:b/>
          <w:color w:val="000000"/>
          <w:sz w:val="20"/>
        </w:rPr>
        <w:t>Exhibit 23.1</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CONSENT OF INDEPENDENT REGISTERED PUBLIC ACCOUNTING FIRM</w:t>
      </w:r>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hereby consent to the incorporation by reference in the Registration Statements on Form S-3ASR (No. 333-266493) and Form S-8 (Nos. 333-231243, 333-263160 and 333-273732) of TransMedics Group, Inc. of our report dated February 27, 2025 relating to the financial statements and the effectiveness of internal control over financial reporting, which appears in this Form 10-K.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PricewaterhouseCoopers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Boston, Massachusetts</w:t>
        <w:br/>
        <w:t>February 27, 2025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9" w:name="tmdx-ex31_1.htm"/>
      <w:bookmarkStart w:id="60" w:name="kstmdxex31_1"/>
      <w:bookmarkEnd w:id="59"/>
      <w:bookmarkEnd w:id="60"/>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Waleed Hassanein, M.D.,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Annual Report on Form 10-K of TransMedics Group,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27, 2025</w:t>
      </w:r>
    </w:p>
    <w:p>
      <w:pPr>
        <w:pStyle w:val="TextBody"/>
        <w:bidi w:val="0"/>
        <w:jc w:val="left"/>
        <w:rPr/>
      </w:pPr>
      <w:r>
        <w:rPr/>
        <w:t> </w:t>
      </w:r>
    </w:p>
    <w:tbl>
      <w:tblPr>
        <w:tblW w:w="4044" w:type="dxa"/>
        <w:jc w:val="left"/>
        <w:tblInd w:w="0" w:type="dxa"/>
        <w:tblLayout w:type="fixed"/>
        <w:tblCellMar>
          <w:top w:w="28" w:type="dxa"/>
          <w:left w:w="28" w:type="dxa"/>
          <w:bottom w:w="28" w:type="dxa"/>
          <w:right w:w="28" w:type="dxa"/>
        </w:tblCellMar>
      </w:tblPr>
      <w:tblGrid>
        <w:gridCol w:w="161"/>
        <w:gridCol w:w="146"/>
        <w:gridCol w:w="406"/>
        <w:gridCol w:w="333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Waleed H. Hassanein</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Waleed H. Hassanein, M.D.</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1" w:name="tmdx-ex31_2.htm"/>
      <w:bookmarkStart w:id="62" w:name="kstmdxex31_2"/>
      <w:bookmarkEnd w:id="61"/>
      <w:bookmarkEnd w:id="62"/>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Gerardo Hernandez,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Annual Report on Form 10-K of TransMedics Group,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27, 2025</w:t>
      </w:r>
    </w:p>
    <w:p>
      <w:pPr>
        <w:pStyle w:val="TextBody"/>
        <w:bidi w:val="0"/>
        <w:jc w:val="left"/>
        <w:rPr/>
      </w:pPr>
      <w:r>
        <w:rPr/>
        <w:t> </w:t>
      </w:r>
    </w:p>
    <w:tbl>
      <w:tblPr>
        <w:tblW w:w="4134" w:type="dxa"/>
        <w:jc w:val="left"/>
        <w:tblInd w:w="0" w:type="dxa"/>
        <w:tblLayout w:type="fixed"/>
        <w:tblCellMar>
          <w:top w:w="28" w:type="dxa"/>
          <w:left w:w="28" w:type="dxa"/>
          <w:bottom w:w="28" w:type="dxa"/>
          <w:right w:w="28" w:type="dxa"/>
        </w:tblCellMar>
      </w:tblPr>
      <w:tblGrid>
        <w:gridCol w:w="161"/>
        <w:gridCol w:w="146"/>
        <w:gridCol w:w="406"/>
        <w:gridCol w:w="342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2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Gerardo Hernandez</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Gerardo Hernandez</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Financial Officer and Treasurer</w:t>
            </w:r>
            <w:r>
              <w:rPr>
                <w:rFonts w:ascii="Times New Roman" w:hAnsi="Times New Roman"/>
                <w:color w:val="000000"/>
                <w:sz w:val="20"/>
              </w:rPr>
              <w:t xml:space="preserve">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3" w:name="tmdx-ex32_1.htm"/>
      <w:bookmarkStart w:id="64" w:name="kstmdxex32_1"/>
      <w:bookmarkEnd w:id="63"/>
      <w:bookmarkEnd w:id="6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of TransMedics Group, Inc. (the “Company”) for the year ended December 31, 2024, as filed with the Securities and Exchange Commission on the date hereof (the “Report”), the undersigned, Waleed Hassanein, M.D., President and Chief Executive Officer of the Company, hereby certifies, pursuant to 18 U.S.C. Section 1350, as adopted pursuant to Section 906 of the Sarbanes-Oxley Act of 2002,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932" w:type="dxa"/>
        <w:jc w:val="left"/>
        <w:tblInd w:w="0" w:type="dxa"/>
        <w:tblLayout w:type="fixed"/>
        <w:tblCellMar>
          <w:top w:w="28" w:type="dxa"/>
          <w:left w:w="28" w:type="dxa"/>
          <w:bottom w:w="28" w:type="dxa"/>
          <w:right w:w="28" w:type="dxa"/>
        </w:tblCellMar>
      </w:tblPr>
      <w:tblGrid>
        <w:gridCol w:w="2086"/>
        <w:gridCol w:w="109"/>
        <w:gridCol w:w="406"/>
        <w:gridCol w:w="333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Waleed H. Hassanein</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Waleed H. Hassanein, M.D.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5" w:name="tmdx-ex32_2.htm"/>
      <w:bookmarkStart w:id="66" w:name="kstmdxex32_2"/>
      <w:bookmarkEnd w:id="65"/>
      <w:bookmarkEnd w:id="6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of TransMedics Group, Inc. (the “Company”) for the year ended December 31, 2024, as filed with the Securities and Exchange Commission on the date hereof (the “Report”), the undersigned, Gerardo Hernandez, Chief Financial Officer and Treasurer of the Company, hereby certifies, pursuant to 18 U.S.C. Section 1350, as adopted pursuant to Section 906 of the Sarbanes-Oxley Act of 2002,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6022" w:type="dxa"/>
        <w:jc w:val="left"/>
        <w:tblInd w:w="0" w:type="dxa"/>
        <w:tblLayout w:type="fixed"/>
        <w:tblCellMar>
          <w:top w:w="28" w:type="dxa"/>
          <w:left w:w="28" w:type="dxa"/>
          <w:bottom w:w="28" w:type="dxa"/>
          <w:right w:w="28" w:type="dxa"/>
        </w:tblCellMar>
      </w:tblPr>
      <w:tblGrid>
        <w:gridCol w:w="2086"/>
        <w:gridCol w:w="109"/>
        <w:gridCol w:w="406"/>
        <w:gridCol w:w="342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2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Gerardo Hernandez</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Gerardo Hernandez</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Financial Officer and Treasurer</w:t>
            </w:r>
            <w:r>
              <w:rPr>
                <w:rFonts w:ascii="Times New Roman" w:hAnsi="Times New Roman"/>
                <w:color w:val="000000"/>
                <w:sz w:val="20"/>
              </w:rPr>
              <w:t xml:space="preserve">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venir Next LT Pro">
    <w:altName w:val="sans-serif"/>
    <w:charset w:val="01"/>
    <w:family w:val="auto"/>
    <w:pitch w:val="default"/>
  </w:font>
  <w:font w:name="Avenir Next LT Pro">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hyperlink" Target="https://www.sec.gov/Archives/edgar/data/1756262/000156459020011409/tmdx-ex31_551.htm" TargetMode="External"/><Relationship Id="rId8" Type="http://schemas.openxmlformats.org/officeDocument/2006/relationships/hyperlink" Target="https://www.sec.gov/Archives/edgar/data/1756262/000119312522277952/d401238dex31.htm" TargetMode="External"/><Relationship Id="rId9" Type="http://schemas.openxmlformats.org/officeDocument/2006/relationships/hyperlink" Target="https://www.sec.gov/Archives/edgar/data/1756262/000119312519099213/d628655dex41.htm" TargetMode="External"/><Relationship Id="rId10" Type="http://schemas.openxmlformats.org/officeDocument/2006/relationships/hyperlink" Target="https://www.sec.gov/Archives/edgar/data/1756262/000156459020011409/tmdx-ex45_550.htm" TargetMode="External"/><Relationship Id="rId11" Type="http://schemas.openxmlformats.org/officeDocument/2006/relationships/hyperlink" Target="https://www.sec.gov/Archives/edgar/data/1756262/000119312523142017/d509646dex41.htm" TargetMode="External"/><Relationship Id="rId12" Type="http://schemas.openxmlformats.org/officeDocument/2006/relationships/hyperlink" Target="https://www.sec.gov/Archives/edgar/data/1756262/000119312523142017/d509646dex41.htm" TargetMode="External"/><Relationship Id="rId13" Type="http://schemas.openxmlformats.org/officeDocument/2006/relationships/hyperlink" Target="https://www.sec.gov/Archives/edgar/data/1756262/000119312523142017/d509646dex41.htm" TargetMode="External"/><Relationship Id="rId14" Type="http://schemas.openxmlformats.org/officeDocument/2006/relationships/hyperlink" Target="https://www.sec.gov/Archives/edgar/data/1756262/000119312519138357/d733796dex101.htm" TargetMode="External"/><Relationship Id="rId15" Type="http://schemas.openxmlformats.org/officeDocument/2006/relationships/hyperlink" Target="https://www.sec.gov/Archives/edgar/data/1756262/000119312519099213/d628655dex102.htm" TargetMode="External"/><Relationship Id="rId16" Type="http://schemas.openxmlformats.org/officeDocument/2006/relationships/hyperlink" Target="https://www.sec.gov/Archives/edgar/data/1756262/000119312519099213/d628655dex103.htm" TargetMode="External"/><Relationship Id="rId17" Type="http://schemas.openxmlformats.org/officeDocument/2006/relationships/hyperlink" Target="https://www.sec.gov/Archives/edgar/data/1756262/000119312519099213/d628655dex104.htm" TargetMode="External"/><Relationship Id="rId18" Type="http://schemas.openxmlformats.org/officeDocument/2006/relationships/hyperlink" Target="https://www.sec.gov/Archives/edgar/data/1756262/000119312519099213/d628655dex105.htm" TargetMode="External"/><Relationship Id="rId19" Type="http://schemas.openxmlformats.org/officeDocument/2006/relationships/hyperlink" Target="https://www.sec.gov/Archives/edgar/data/1756262/000119312519099213/d628655dex106.htm" TargetMode="External"/><Relationship Id="rId20" Type="http://schemas.openxmlformats.org/officeDocument/2006/relationships/hyperlink" Target="https://www.sec.gov/Archives/edgar/data/1756262/000119312519099213/d628655dex107.htm" TargetMode="External"/><Relationship Id="rId21" Type="http://schemas.openxmlformats.org/officeDocument/2006/relationships/hyperlink" Target="https://www.sec.gov/Archives/edgar/data/1756262/000119312519099213/d628655dex108.htm" TargetMode="External"/><Relationship Id="rId22" Type="http://schemas.openxmlformats.org/officeDocument/2006/relationships/hyperlink" Target="https://www.sec.gov/Archives/edgar/data/1756262/000119312523155477/d498391dex101.htm" TargetMode="External"/><Relationship Id="rId23" Type="http://schemas.openxmlformats.org/officeDocument/2006/relationships/hyperlink" Target="https://www.sec.gov/Archives/edgar/data/1756262/000119312519112722/d628655dex1010.htm" TargetMode="External"/><Relationship Id="rId24" Type="http://schemas.openxmlformats.org/officeDocument/2006/relationships/hyperlink" Target="https://www.sec.gov/Archives/edgar/data/1756262/000119312519112722/d628655dex1011.htm" TargetMode="External"/><Relationship Id="rId25" Type="http://schemas.openxmlformats.org/officeDocument/2006/relationships/hyperlink" Target="https://www.sec.gov/Archives/edgar/data/1756262/000119312523048814/d460742dex101.htm" TargetMode="External"/><Relationship Id="rId26" Type="http://schemas.openxmlformats.org/officeDocument/2006/relationships/hyperlink" Target="https://www.sec.gov/Archives/edgar/data/1756262/000119312519112722/d628655dex1012.htm" TargetMode="External"/><Relationship Id="rId27" Type="http://schemas.openxmlformats.org/officeDocument/2006/relationships/hyperlink" Target="https://www.sec.gov/Archives/edgar/data/1756262/000119312519112722/d628655dex1013.htm" TargetMode="External"/><Relationship Id="rId28" Type="http://schemas.openxmlformats.org/officeDocument/2006/relationships/hyperlink" Target="https://www.sec.gov/Archives/edgar/data/1756262/000119312521239860/d94427dex101.htm" TargetMode="External"/><Relationship Id="rId29" Type="http://schemas.openxmlformats.org/officeDocument/2006/relationships/hyperlink" Target="https://www.sec.gov/Archives/edgar/data/1756262/000119312523048814/d460742dex102.htm" TargetMode="External"/><Relationship Id="rId30" Type="http://schemas.openxmlformats.org/officeDocument/2006/relationships/hyperlink" Target="https://www.sec.gov/Archives/edgar/data/1756262/000119312519099213/d628655dex1014.htm" TargetMode="External"/><Relationship Id="rId31" Type="http://schemas.openxmlformats.org/officeDocument/2006/relationships/hyperlink" Target="https://www.sec.gov/Archives/edgar/data/1756262/000119312519099213/d628655dex1015.htm" TargetMode="External"/><Relationship Id="rId32" Type="http://schemas.openxmlformats.org/officeDocument/2006/relationships/hyperlink" Target="https://www.sec.gov/Archives/edgar/data/1756262/000119312519099213/d628655dex1016.htm" TargetMode="External"/><Relationship Id="rId33" Type="http://schemas.openxmlformats.org/officeDocument/2006/relationships/hyperlink" Target="https://www.sec.gov/Archives/edgar/data/1756262/000119312519099213/d628655dex1017.htm" TargetMode="External"/><Relationship Id="rId34" Type="http://schemas.openxmlformats.org/officeDocument/2006/relationships/hyperlink" Target="https://www.sec.gov/Archives/edgar/data/1756262/000119312519099213/d628655dex1018.htm" TargetMode="External"/><Relationship Id="rId35" Type="http://schemas.openxmlformats.org/officeDocument/2006/relationships/hyperlink" Target="https://www.sec.gov/Archives/edgar/data/1756262/000119312519099213/d628655dex1019.htm" TargetMode="External"/><Relationship Id="rId36" Type="http://schemas.openxmlformats.org/officeDocument/2006/relationships/hyperlink" Target="https://www.sec.gov/Archives/edgar/data/1756262/000119312519099213/d628655dex1020.htm" TargetMode="External"/><Relationship Id="rId37" Type="http://schemas.openxmlformats.org/officeDocument/2006/relationships/hyperlink" Target="https://www.sec.gov/Archives/edgar/data/1756262/000119312519099213/d628655dex1021.htm" TargetMode="External"/><Relationship Id="rId38" Type="http://schemas.openxmlformats.org/officeDocument/2006/relationships/hyperlink" Target="https://www.sec.gov/Archives/edgar/data/1756262/000119312519099213/d628655dex1022.htm" TargetMode="External"/><Relationship Id="rId39" Type="http://schemas.openxmlformats.org/officeDocument/2006/relationships/hyperlink" Target="https://www.sec.gov/Archives/edgar/data/1756262/000119312519099213/d628655dex1023.htm" TargetMode="External"/><Relationship Id="rId40" Type="http://schemas.openxmlformats.org/officeDocument/2006/relationships/hyperlink" Target="https://www.sec.gov/Archives/edgar/data/1756262/000119312519099213/d628655dex1024.htm" TargetMode="External"/><Relationship Id="rId41" Type="http://schemas.openxmlformats.org/officeDocument/2006/relationships/hyperlink" Target="https://www.sec.gov/Archives/edgar/data/1756262/000119312519099213/d628655dex1025.htm" TargetMode="External"/><Relationship Id="rId42" Type="http://schemas.openxmlformats.org/officeDocument/2006/relationships/hyperlink" Target="https://www.sec.gov/Archives/edgar/data/1756262/000156459020011409/exhibit10_26.htm" TargetMode="External"/><Relationship Id="rId43" Type="http://schemas.openxmlformats.org/officeDocument/2006/relationships/hyperlink" Target="https://www.sec.gov/Archives/edgar/data/1756262/000119312522206638/d361583dex101.htm" TargetMode="External"/><Relationship Id="rId44" Type="http://schemas.openxmlformats.org/officeDocument/2006/relationships/hyperlink" Target="https://www.sec.gov/Archives/edgar/data/1756262/000119312523138845/d185606dex101.htm" TargetMode="External"/><Relationship Id="rId45" Type="http://schemas.openxmlformats.org/officeDocument/2006/relationships/hyperlink" Target="https://www.sec.gov/Archives/edgar/data/1756262/000119312523178575/d504683dex101.htm" TargetMode="External"/><Relationship Id="rId46" Type="http://schemas.openxmlformats.org/officeDocument/2006/relationships/hyperlink" Target="https://www.sec.gov/Archives/edgar/data/1756262/000119312523276099/d325212dex101.htm" TargetMode="External"/><Relationship Id="rId47" Type="http://schemas.openxmlformats.org/officeDocument/2006/relationships/hyperlink" Target="https://www.sec.gov/Archives/edgar/data/1756262/000095017024021155/tmdx-ex10_34.htm" TargetMode="External"/><Relationship Id="rId48" Type="http://schemas.openxmlformats.org/officeDocument/2006/relationships/hyperlink" Target="https://www.sec.gov/Archives/edgar/data/1756262/000119312522206638/d361583dex101.htm" TargetMode="External"/><Relationship Id="rId49" Type="http://schemas.openxmlformats.org/officeDocument/2006/relationships/hyperlink" Target="https://www.sec.gov/Archives/edgar/data/1756262/000119312519099213/d628655dex1032.htm" TargetMode="External"/><Relationship Id="rId50" Type="http://schemas.openxmlformats.org/officeDocument/2006/relationships/hyperlink" Target="https://www.sec.gov/Archives/edgar/data/1756262/000119312519099213/d628655dex1033.htm" TargetMode="External"/><Relationship Id="rId51" Type="http://schemas.openxmlformats.org/officeDocument/2006/relationships/hyperlink" Target="https://www.sec.gov/Archives/edgar/data/1756262/000119312520105276/d917456dex101.htm" TargetMode="External"/><Relationship Id="rId52" Type="http://schemas.openxmlformats.org/officeDocument/2006/relationships/hyperlink" Target="https://www.sec.gov/Archives/edgar/data/1756262/000156459020038399/tmdx-ex101_96.htm" TargetMode="External"/><Relationship Id="rId53" Type="http://schemas.openxmlformats.org/officeDocument/2006/relationships/hyperlink" Target="https://www.sec.gov/Archives/edgar/data/1756262/000119312523142017/d509646dex102.htm" TargetMode="External"/><Relationship Id="rId54" Type="http://schemas.openxmlformats.org/officeDocument/2006/relationships/hyperlink" Target="https://www.sec.gov/Archives/edgar/data/1756262/000095017024021155/tmdx-ex97_1.htm"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116750</Words>
  <Characters>637501</Characters>
  <CharactersWithSpaces>755100</CharactersWithSpaces>
  <Paragraphs>9188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