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dx-20230630.htm"/>
      <w:bookmarkStart w:id="1" w:name="kstmdx20230630"/>
      <w:bookmarkEnd w:id="0"/>
      <w:bookmarkEnd w:id="1"/>
      <w:r>
        <w:rPr/>
        <w:t> </w:t>
      </w:r>
    </w:p>
    <w:p>
      <w:pPr>
        <w:pStyle w:val="TextBody"/>
        <w:bidi w:val="0"/>
        <w:spacing w:before="0" w:after="0"/>
        <w:jc w:val="left"/>
        <w:rPr/>
      </w:pPr>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2" w:space="1" w:color="000000"/>
        </w:pBdr>
        <w:bidi w:val="0"/>
        <w:spacing w:before="0" w:after="0"/>
        <w:jc w:val="center"/>
        <w:rPr/>
      </w:pPr>
      <w:r>
        <w:rPr/>
        <w:t> </w:t>
      </w:r>
    </w:p>
    <w:p>
      <w:pPr>
        <w:pStyle w:val="TextBody"/>
        <w:bidi w:val="0"/>
        <w:spacing w:before="12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pBdr>
          <w:bottom w:val="single" w:sz="2"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Commission File Number: 001-38891</w:t>
      </w:r>
      <w:r>
        <w:rPr>
          <w:rFonts w:ascii="Times New Roman" w:hAnsi="Times New Roman"/>
          <w:sz w:val="20"/>
        </w:rPr>
        <w:t xml:space="preserve"> </w:t>
      </w:r>
    </w:p>
    <w:p>
      <w:pPr>
        <w:pStyle w:val="TextBody"/>
        <w:pBdr>
          <w:bottom w:val="single" w:sz="2" w:space="1" w:color="000000"/>
        </w:pBdr>
        <w:bidi w:val="0"/>
        <w:spacing w:before="0" w:after="0"/>
        <w:jc w:val="center"/>
        <w:rPr/>
      </w:pPr>
      <w:r>
        <w:rPr/>
        <w:t> </w:t>
      </w:r>
    </w:p>
    <w:p>
      <w:pPr>
        <w:pStyle w:val="TextBody"/>
        <w:bidi w:val="0"/>
        <w:spacing w:before="120" w:after="0"/>
        <w:jc w:val="center"/>
        <w:rPr>
          <w:rFonts w:ascii="Times New Roman" w:hAnsi="Times New Roman"/>
          <w:sz w:val="20"/>
        </w:rPr>
      </w:pPr>
      <w:r>
        <w:rPr>
          <w:rFonts w:ascii="Times New Roman;serif" w:hAnsi="Times New Roman;serif"/>
          <w:b/>
          <w:sz w:val="48"/>
        </w:rPr>
        <w:t>TransMedics Group,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bidi w:val="0"/>
        <w:spacing w:before="0" w:after="0"/>
        <w:jc w:val="left"/>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Massachusetts</w:t>
            </w:r>
          </w:p>
        </w:tc>
        <w:tc>
          <w:tcPr>
            <w:tcW w:w="18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83-2181531</w:t>
            </w:r>
          </w:p>
        </w:tc>
      </w:tr>
      <w:tr>
        <w:trPr/>
        <w:tc>
          <w:tcPr>
            <w:tcW w:w="237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8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Identification Number)</w:t>
            </w:r>
          </w:p>
        </w:tc>
      </w:tr>
    </w:tbl>
    <w:tbl>
      <w:tblPr>
        <w:tblW w:w="3812" w:type="dxa"/>
        <w:jc w:val="left"/>
        <w:tblInd w:w="0" w:type="dxa"/>
        <w:tblLayout w:type="fixed"/>
        <w:tblCellMar>
          <w:top w:w="28" w:type="dxa"/>
          <w:left w:w="28" w:type="dxa"/>
          <w:bottom w:w="28" w:type="dxa"/>
          <w:right w:w="28" w:type="dxa"/>
        </w:tblCellMar>
      </w:tblPr>
      <w:tblGrid>
        <w:gridCol w:w="2926"/>
        <w:gridCol w:w="886"/>
      </w:tblGrid>
      <w:tr>
        <w:trPr/>
        <w:tc>
          <w:tcPr>
            <w:tcW w:w="29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200 Minuteman Road</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Andover, Massachusetts</w:t>
            </w:r>
          </w:p>
        </w:tc>
        <w:tc>
          <w:tcPr>
            <w:tcW w:w="8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01810</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(978) 552-0900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(Registrant’s telephone number, including area code)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795" w:type="dxa"/>
        <w:jc w:val="left"/>
        <w:tblInd w:w="0" w:type="dxa"/>
        <w:tblLayout w:type="fixed"/>
        <w:tblCellMar>
          <w:top w:w="28" w:type="dxa"/>
          <w:left w:w="28" w:type="dxa"/>
          <w:bottom w:w="28" w:type="dxa"/>
          <w:right w:w="28" w:type="dxa"/>
        </w:tblCellMar>
      </w:tblPr>
      <w:tblGrid>
        <w:gridCol w:w="2641"/>
        <w:gridCol w:w="146"/>
        <w:gridCol w:w="1501"/>
        <w:gridCol w:w="146"/>
        <w:gridCol w:w="3361"/>
      </w:tblGrid>
      <w:tr>
        <w:trPr/>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361" w:type="dxa"/>
            <w:tcBorders/>
            <w:shd w:fill="FFFFFF" w:val="clear"/>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0"/>
              <w:ind w:left="0" w:right="0" w:hanging="0"/>
              <w:jc w:val="center"/>
              <w:rPr>
                <w:rFonts w:ascii="Times New Roman" w:hAnsi="Times New Roman"/>
                <w:sz w:val="16"/>
              </w:rPr>
            </w:pPr>
            <w:r>
              <w:rPr>
                <w:rFonts w:ascii="Times New Roman;serif" w:hAnsi="Times New Roman;serif"/>
                <w:b/>
                <w:sz w:val="16"/>
              </w:rPr>
              <w:t>Title of each class</w:t>
            </w:r>
            <w:r>
              <w:rPr>
                <w:rFonts w:ascii="Times New Roman" w:hAnsi="Times New Roman"/>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ind w:left="0" w:right="0" w:hanging="0"/>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0"/>
              <w:ind w:left="0" w:right="0" w:hanging="0"/>
              <w:jc w:val="center"/>
              <w:rPr>
                <w:rFonts w:ascii="Times New Roman" w:hAnsi="Times New Roman"/>
                <w:sz w:val="16"/>
              </w:rPr>
            </w:pPr>
            <w:r>
              <w:rPr>
                <w:rFonts w:ascii="Times New Roman;serif" w:hAnsi="Times New Roman;serif"/>
                <w:b/>
                <w:sz w:val="16"/>
              </w:rPr>
              <w:t>Trading Symbol(s)</w:t>
            </w:r>
            <w:r>
              <w:rPr>
                <w:rFonts w:ascii="Times New Roman" w:hAnsi="Times New Roman"/>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ind w:left="0" w:right="0" w:hanging="0"/>
              <w:jc w:val="center"/>
              <w:rPr/>
            </w:pPr>
            <w:r>
              <w:rPr/>
              <w:t> </w:t>
            </w:r>
          </w:p>
        </w:tc>
        <w:tc>
          <w:tcPr>
            <w:tcW w:w="3361" w:type="dxa"/>
            <w:tcBorders>
              <w:bottom w:val="single" w:sz="4" w:space="0" w:color="000000"/>
            </w:tcBorders>
            <w:tcMar>
              <w:top w:w="0" w:type="dxa"/>
              <w:left w:w="0" w:type="dxa"/>
              <w:right w:w="0" w:type="dxa"/>
            </w:tcMar>
            <w:vAlign w:val="center"/>
          </w:tcPr>
          <w:p>
            <w:pPr>
              <w:pStyle w:val="TableContents"/>
              <w:bidi w:val="0"/>
              <w:spacing w:before="0" w:after="20"/>
              <w:ind w:left="0" w:right="0" w:hanging="0"/>
              <w:jc w:val="center"/>
              <w:rPr>
                <w:rFonts w:ascii="Times New Roman" w:hAnsi="Times New Roman"/>
                <w:sz w:val="16"/>
              </w:rPr>
            </w:pPr>
            <w:r>
              <w:rPr>
                <w:rFonts w:ascii="Times New Roman;serif" w:hAnsi="Times New Roman;serif"/>
                <w:b/>
                <w:sz w:val="16"/>
              </w:rPr>
              <w:t>Name of each exchange on which registered</w:t>
            </w:r>
            <w:r>
              <w:rPr>
                <w:rFonts w:ascii="Times New Roman" w:hAnsi="Times New Roman"/>
                <w:sz w:val="16"/>
              </w:rPr>
              <w:t xml:space="preserve"> </w:t>
            </w:r>
          </w:p>
        </w:tc>
      </w:tr>
      <w:tr>
        <w:trPr/>
        <w:tc>
          <w:tcPr>
            <w:tcW w:w="264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 No Par Value</w:t>
            </w:r>
          </w:p>
        </w:tc>
        <w:tc>
          <w:tcPr>
            <w:tcW w:w="146" w:type="dxa"/>
            <w:tcBorders/>
            <w:vAlign w:val="center"/>
          </w:tcPr>
          <w:p>
            <w:pPr>
              <w:pStyle w:val="TableContents"/>
              <w:bidi w:val="0"/>
              <w:spacing w:before="0" w:after="0"/>
              <w:ind w:left="0" w:right="0" w:hanging="0"/>
              <w:jc w:val="center"/>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TMDX</w:t>
            </w:r>
          </w:p>
        </w:tc>
        <w:tc>
          <w:tcPr>
            <w:tcW w:w="146" w:type="dxa"/>
            <w:tcBorders/>
            <w:vAlign w:val="center"/>
          </w:tcPr>
          <w:p>
            <w:pPr>
              <w:pStyle w:val="TableContents"/>
              <w:bidi w:val="0"/>
              <w:spacing w:before="0" w:after="0"/>
              <w:ind w:left="0" w:right="0" w:hanging="0"/>
              <w:jc w:val="center"/>
              <w:rPr/>
            </w:pPr>
            <w:r>
              <w:rPr/>
              <w:t> </w:t>
            </w:r>
          </w:p>
        </w:tc>
        <w:tc>
          <w:tcPr>
            <w:tcW w:w="336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 Nasdaq Global Market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July 31, 2023, the registrant had 32,630,386</w:t>
      </w:r>
      <w:r>
        <w:rPr>
          <w:rFonts w:ascii="Times New Roman" w:hAnsi="Times New Roman"/>
          <w:sz w:val="20"/>
        </w:rPr>
        <w:t xml:space="preserve"> </w:t>
      </w:r>
      <w:r>
        <w:rPr>
          <w:rFonts w:ascii="Times New Roman;serif" w:hAnsi="Times New Roman;serif"/>
          <w:b w:val="false"/>
          <w:sz w:val="20"/>
        </w:rPr>
        <w:t>shares of common stock, no par value per share, outstanding.</w:t>
      </w:r>
      <w:r>
        <w:rPr>
          <w:rFonts w:ascii="Times New Roman" w:hAnsi="Times New Roman"/>
          <w:sz w:val="20"/>
        </w:rPr>
        <w:t xml:space="preserve"> </w:t>
      </w:r>
    </w:p>
    <w:p>
      <w:pPr>
        <w:pStyle w:val="TextBody"/>
        <w:pBdr>
          <w:bottom w:val="doub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FORWARD-LOOKING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This Quarterly Report on Form 10-Q contains forward-looking statements with respect to, among other things, our operations and financial performance. All statements other than statements of historical facts contained in this Quarterly Report on Form 10-Q, including statements regarding our future results of operations and financial position, business strategy and plans and our objectives for future operations, including our acquisitions, joint ventures or strategic investments, are forward-looking statements. The words “believe,” “may,” “will,” “estimate,” “continue,” “anticipate,” “intend,” “expect,” “should,” “could,” “target,” “predict,” “seek”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 and long-term business operations and objectives, and financial needs. These forward-looking statements are subject to a number of risks, uncertainties and assumptions, including those referenced in the section titled “Risk Factors,” which could cause actual results to differ materially.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or implied by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forward-looking statements included in this Quarterly Report on Form 10-Q are made only as of the date of this report. You should not rely upon forward-looking statements as predictions of future events.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Quarterly Report on Form 10-Q to conform these statements to actual results or reflect interim developments.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Some of the key factors that could cause actual results to differ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that we continue to incur losses;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attract and retain key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existing and any future indebtedness, including our ability to comply with affirmative and negative covenants under our credit agreements to which we will remain subject until maturity;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fluctuation of our financial results from quarter to quarter;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need to raise additional funding and our ability to obtain it on favorable terms, or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use net operating losses and research and development credit carryforwards;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our dependence on the success of the Organ Care System, or OCS</w:t>
      </w:r>
      <w:r>
        <w:rPr>
          <w:rFonts w:ascii="Times New Roman;serif" w:hAnsi="Times New Roman;serif"/>
          <w:b w:val="false"/>
          <w:sz w:val="13"/>
        </w:rPr>
        <w:t>TM</w:t>
      </w:r>
      <w:r>
        <w:rPr>
          <w:rFonts w:ascii="Times New Roman;serif" w:hAnsi="Times New Roman;serif"/>
          <w:b w:val="false"/>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expand access to the OCS through our National OCS Program;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scale our manufacturing and sterilization capabilities to meet increasing demand for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rate and degree of market acceptance of the OCS;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educate patients, surgeons, transplant centers and private and public payors on the benefits offered by the OCS;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improve the OCS platform and develop the next generation of the OCS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dependence on a limited number of customers for a significant portion of our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regulatory approvals or clearances for our OCS products in the United States and European Union;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adequately respond to the Food and Drug Administration, or FDA, follow-up inquiries in a timely manner;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performance of our third-party suppliers and manufacturers;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use of third parties to transport donor organs and medical personnel for our National OCS Program and our ability to establish and grow our aviation operations to support our National OCS Program to reduce dependence on third party transportation, including by means of the acquisition of fixed-wing aircraft or other acquisitions, joint ventures or strategic investments;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price increases of the components of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or results of post-approval studies and any clinical trials for the OCS;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manufacturing, sales, marketing and clinical support capabilities and strategy;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attacks against our information technology infrastructure;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economic, political and other risks associated with our foreign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protect, defend, maintain and enforce our intellectual property rights relating to the OCS and avoid allegations that our products infringe, misappropriate or otherwise violate the intellectual property rights of third parties;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pricing of the OCS, as well as the reimbursement coverage for the OCS in the United States and internationally;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developments in the United States, European Union and other jurisdictions;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and success of competing products or procedures that are or may become available;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service our 1.50% convertible senior notes, due 2028;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any product recalls or improper use of our products;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estimates regarding revenue, expenses and needs for additional financing.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TransMedics Group,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bidi w:val="0"/>
        <w:spacing w:before="0" w:after="0"/>
        <w:jc w:val="left"/>
        <w:rPr/>
      </w:pPr>
      <w:r>
        <w:rPr/>
        <w:t> </w:t>
      </w:r>
    </w:p>
    <w:tbl>
      <w:tblPr>
        <w:tblW w:w="9014" w:type="dxa"/>
        <w:jc w:val="left"/>
        <w:tblInd w:w="0" w:type="dxa"/>
        <w:tblLayout w:type="fixed"/>
        <w:tblCellMar>
          <w:top w:w="28" w:type="dxa"/>
          <w:left w:w="28" w:type="dxa"/>
          <w:bottom w:w="28" w:type="dxa"/>
          <w:right w:w="28" w:type="dxa"/>
        </w:tblCellMar>
      </w:tblPr>
      <w:tblGrid>
        <w:gridCol w:w="811"/>
        <w:gridCol w:w="7366"/>
        <w:gridCol w:w="266"/>
        <w:gridCol w:w="571"/>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PART I—FINANCIAL INFORMATION</w:t>
            </w:r>
          </w:p>
        </w:tc>
        <w:tc>
          <w:tcPr>
            <w:tcW w:w="26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financial_statements_unaudited">
              <w:r>
                <w:rPr>
                  <w:rStyle w:val="InternetLink"/>
                  <w:rFonts w:ascii="Times New Roman;serif" w:hAnsi="Times New Roman;serif"/>
                  <w:b w:val="false"/>
                  <w:sz w:val="20"/>
                  <w:u w:val="single"/>
                </w:rPr>
                <w:t>Financial Statements (Unaudited)</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solidated_statements_operations">
              <w:r>
                <w:rPr>
                  <w:rStyle w:val="InternetLink"/>
                  <w:rFonts w:ascii="Times New Roman;serif" w:hAnsi="Times New Roman;serif"/>
                  <w:b w:val="false"/>
                  <w:sz w:val="20"/>
                  <w:u w:val="single"/>
                </w:rPr>
                <w:t>Consolidated Statements of Operations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2</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solidated_statements_comprehensive_lo">
              <w:r>
                <w:rPr>
                  <w:rStyle w:val="InternetLink"/>
                  <w:rFonts w:ascii="Times New Roman;serif" w:hAnsi="Times New Roman;serif"/>
                  <w:b w:val="false"/>
                  <w:sz w:val="20"/>
                  <w:u w:val="single"/>
                </w:rPr>
                <w:t>Consolidated Statements of Comprehensive Loss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solidated_statements_convertible_pref">
              <w:r>
                <w:rPr>
                  <w:rStyle w:val="InternetLink"/>
                  <w:rFonts w:ascii="Times New Roman;serif" w:hAnsi="Times New Roman;serif"/>
                  <w:b w:val="false"/>
                  <w:sz w:val="20"/>
                  <w:u w:val="single"/>
                </w:rPr>
                <w:t>Consolidated Statements of Stockholders’ Equity</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4</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solidated_statements_cash_flows">
              <w:r>
                <w:rPr>
                  <w:rStyle w:val="InternetLink"/>
                  <w:rFonts w:ascii="Times New Roman;serif" w:hAnsi="Times New Roman;serif"/>
                  <w:b w:val="false"/>
                  <w:sz w:val="20"/>
                  <w:u w:val="single"/>
                </w:rPr>
                <w:t>Consolidated Statements of Cash Flows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5</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Unaudited Consolidated Financial Statements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6</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16</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30</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30</w:t>
            </w:r>
          </w:p>
        </w:tc>
      </w:tr>
      <w:tr>
        <w:trPr/>
        <w:tc>
          <w:tcPr>
            <w:tcW w:w="811"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PART II—OTHER INFORMATION</w:t>
            </w:r>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31</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31</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34</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34</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35</w:t>
            </w:r>
          </w:p>
        </w:tc>
      </w:tr>
      <w:tr>
        <w:trPr/>
        <w:tc>
          <w:tcPr>
            <w:tcW w:w="8177" w:type="dxa"/>
            <w:gridSpan w:val="2"/>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266" w:type="dxa"/>
            <w:tcBorders/>
            <w:vAlign w:val="center"/>
          </w:tcPr>
          <w:p>
            <w:pPr>
              <w:pStyle w:val="TableContents"/>
              <w:bidi w:val="0"/>
              <w:spacing w:before="0" w:after="0"/>
              <w:ind w:left="0" w:right="120" w:hanging="0"/>
              <w:jc w:val="right"/>
              <w:rPr/>
            </w:pPr>
            <w:r>
              <w:rPr/>
              <w:t> </w:t>
            </w:r>
          </w:p>
        </w:tc>
        <w:tc>
          <w:tcPr>
            <w:tcW w:w="571" w:type="dxa"/>
            <w:tcBorders/>
            <w:vAlign w:val="center"/>
          </w:tcPr>
          <w:p>
            <w:pPr>
              <w:pStyle w:val="TableContents"/>
              <w:bidi w:val="0"/>
              <w:spacing w:before="0" w:after="0"/>
              <w:ind w:left="0" w:right="120" w:hanging="0"/>
              <w:jc w:val="right"/>
              <w:rPr>
                <w:rFonts w:ascii="Times New Roman;serif" w:hAnsi="Times New Roman;serif"/>
                <w:b w:val="false"/>
                <w:sz w:val="20"/>
              </w:rPr>
            </w:pPr>
            <w:r>
              <w:rPr>
                <w:rFonts w:ascii="Times New Roman;serif" w:hAnsi="Times New Roman;serif"/>
                <w:b w:val="false"/>
                <w:sz w:val="20"/>
              </w:rPr>
              <w:t>36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 w:name="part_ifinancial_information"/>
      <w:bookmarkEnd w:id="2"/>
      <w:r>
        <w:rPr>
          <w:rFonts w:ascii="Times New Roman;serif" w:hAnsi="Times New Roman;serif"/>
          <w:b/>
          <w:sz w:val="20"/>
        </w:rPr>
        <w:t>PART I—FINANCIAL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 w:name="item_1_financial_statements_unaudited"/>
      <w:bookmarkEnd w:id="3"/>
      <w:r>
        <w:rPr>
          <w:rFonts w:ascii="Times New Roman;serif" w:hAnsi="Times New Roman;serif"/>
          <w:b/>
          <w:sz w:val="20"/>
        </w:rPr>
        <w:t>Item 1. Financial Statements (Unaudited)</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TRANSMEDICS GROUP,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consolidated_balance_sheets"/>
      <w:bookmarkEnd w:id="4"/>
      <w:r>
        <w:rPr>
          <w:rFonts w:ascii="Times New Roman;serif" w:hAnsi="Times New Roman;serif"/>
          <w:b/>
          <w:sz w:val="20"/>
        </w:rPr>
        <w:t>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9472" w:type="dxa"/>
        <w:jc w:val="left"/>
        <w:tblInd w:w="0" w:type="dxa"/>
        <w:tblLayout w:type="fixed"/>
        <w:tblCellMar>
          <w:top w:w="28" w:type="dxa"/>
          <w:left w:w="28" w:type="dxa"/>
          <w:bottom w:w="28" w:type="dxa"/>
          <w:right w:w="28" w:type="dxa"/>
        </w:tblCellMar>
      </w:tblPr>
      <w:tblGrid>
        <w:gridCol w:w="6076"/>
        <w:gridCol w:w="146"/>
        <w:gridCol w:w="211"/>
        <w:gridCol w:w="841"/>
        <w:gridCol w:w="166"/>
        <w:gridCol w:w="146"/>
        <w:gridCol w:w="219"/>
        <w:gridCol w:w="876"/>
        <w:gridCol w:w="791"/>
      </w:tblGrid>
      <w:tr>
        <w:trPr/>
        <w:tc>
          <w:tcPr>
            <w:tcW w:w="6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791" w:type="dxa"/>
            <w:tcBorders/>
            <w:vAlign w:val="center"/>
          </w:tcPr>
          <w:p>
            <w:pPr>
              <w:pStyle w:val="TableContents"/>
              <w:bidi w:val="0"/>
              <w:spacing w:before="0" w:after="0"/>
              <w:ind w:left="0" w:right="0" w:hanging="0"/>
              <w:jc w:val="center"/>
              <w:rPr/>
            </w:pPr>
            <w:r>
              <w:rPr/>
              <w:t> </w:t>
            </w:r>
          </w:p>
        </w:tc>
      </w:tr>
      <w:tr>
        <w:trPr/>
        <w:tc>
          <w:tcPr>
            <w:tcW w:w="60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201,182</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27,611</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20,605</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2,896</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662,655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252,294</w:t>
            </w:r>
          </w:p>
        </w:tc>
        <w:tc>
          <w:tcPr>
            <w:tcW w:w="791" w:type="dxa"/>
            <w:tcBorders/>
            <w:vAlign w:val="center"/>
          </w:tcPr>
          <w:p>
            <w:pPr>
              <w:pStyle w:val="TableContents"/>
              <w:bidi w:val="0"/>
              <w:spacing w:before="0" w:after="0"/>
              <w:ind w:left="0" w:right="0" w:hanging="0"/>
              <w:jc w:val="left"/>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19,223</w:t>
            </w:r>
          </w:p>
        </w:tc>
        <w:tc>
          <w:tcPr>
            <w:tcW w:w="791" w:type="dxa"/>
            <w:tcBorders/>
            <w:vAlign w:val="center"/>
          </w:tcPr>
          <w:p>
            <w:pPr>
              <w:pStyle w:val="TableContents"/>
              <w:bidi w:val="0"/>
              <w:spacing w:before="0" w:after="0"/>
              <w:ind w:left="0" w:right="0" w:hanging="0"/>
              <w:jc w:val="left"/>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791" w:type="dxa"/>
            <w:tcBorders/>
            <w:vAlign w:val="center"/>
          </w:tcPr>
          <w:p>
            <w:pPr>
              <w:pStyle w:val="TableContents"/>
              <w:bidi w:val="0"/>
              <w:spacing w:before="0" w:after="0"/>
              <w:ind w:left="0" w:right="0" w:hanging="0"/>
              <w:jc w:val="left"/>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5,130</w:t>
            </w:r>
          </w:p>
        </w:tc>
        <w:tc>
          <w:tcPr>
            <w:tcW w:w="791" w:type="dxa"/>
            <w:tcBorders/>
            <w:vAlign w:val="center"/>
          </w:tcPr>
          <w:p>
            <w:pPr>
              <w:pStyle w:val="TableContents"/>
              <w:bidi w:val="0"/>
              <w:spacing w:before="0" w:after="0"/>
              <w:ind w:left="0" w:right="0" w:hanging="0"/>
              <w:jc w:val="left"/>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690,358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277,147</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3,341</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18,635</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23,661</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Convertible senior notes,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445,761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58,696</w:t>
            </w:r>
          </w:p>
        </w:tc>
        <w:tc>
          <w:tcPr>
            <w:tcW w:w="7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07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545,145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89,772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8)</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100"/>
              <w:jc w:val="left"/>
              <w:rPr/>
            </w:pPr>
            <w:r>
              <w:rPr/>
              <w:t> </w:t>
            </w:r>
          </w:p>
        </w:tc>
      </w:tr>
      <w:tr>
        <w:trPr/>
        <w:tc>
          <w:tcPr>
            <w:tcW w:w="607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Preferred stock, no</w:t>
            </w:r>
            <w:r>
              <w:rPr>
                <w:rFonts w:ascii="Times New Roman" w:hAnsi="Times New Roman"/>
                <w:sz w:val="20"/>
              </w:rPr>
              <w:t> </w:t>
            </w:r>
            <w:r>
              <w:rPr>
                <w:rFonts w:ascii="Times New Roman;serif" w:hAnsi="Times New Roman;serif"/>
                <w:b w:val="false"/>
                <w:sz w:val="20"/>
              </w:rPr>
              <w:t>par value; 25,000,000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w:t>
              <w:br/>
              <w:t>   issued or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100"/>
              <w:jc w:val="left"/>
              <w:rPr/>
            </w:pPr>
            <w:r>
              <w:rPr/>
              <w:t> </w:t>
            </w:r>
          </w:p>
        </w:tc>
      </w:tr>
      <w:tr>
        <w:trPr/>
        <w:tc>
          <w:tcPr>
            <w:tcW w:w="607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Common stock, no</w:t>
            </w:r>
            <w:r>
              <w:rPr>
                <w:rFonts w:ascii="Times New Roman" w:hAnsi="Times New Roman"/>
                <w:sz w:val="20"/>
              </w:rPr>
              <w:t> </w:t>
            </w:r>
            <w:r>
              <w:rPr>
                <w:rFonts w:ascii="Times New Roman;serif" w:hAnsi="Times New Roman;serif"/>
                <w:b w:val="false"/>
                <w:sz w:val="20"/>
              </w:rPr>
              <w:t>par value; 150,000,000</w:t>
            </w:r>
            <w:r>
              <w:rPr>
                <w:rFonts w:ascii="Times New Roman" w:hAnsi="Times New Roman"/>
                <w:sz w:val="20"/>
              </w:rPr>
              <w:t> </w:t>
            </w:r>
            <w:r>
              <w:rPr>
                <w:rFonts w:ascii="Times New Roman;serif" w:hAnsi="Times New Roman;serif"/>
                <w:b w:val="false"/>
                <w:sz w:val="20"/>
              </w:rPr>
              <w:t>shares authorized; 32,582,933</w:t>
              <w:br/>
              <w:t>   shares and 32,141,368</w:t>
            </w:r>
            <w:r>
              <w:rPr>
                <w:rFonts w:ascii="Times New Roman" w:hAnsi="Times New Roman"/>
                <w:sz w:val="20"/>
              </w:rPr>
              <w:t> </w:t>
            </w:r>
            <w:r>
              <w:rPr>
                <w:rFonts w:ascii="Times New Roman;serif" w:hAnsi="Times New Roman;serif"/>
                <w:b w:val="false"/>
                <w:sz w:val="20"/>
              </w:rPr>
              <w:t>shares issued and outstanding at June 30, 2023</w:t>
              <w:br/>
              <w:t>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627,747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666,277</w:t>
            </w:r>
          </w:p>
        </w:tc>
        <w:tc>
          <w:tcPr>
            <w:tcW w:w="791" w:type="dxa"/>
            <w:tcBorders/>
            <w:vAlign w:val="center"/>
          </w:tcPr>
          <w:p>
            <w:pPr>
              <w:pStyle w:val="TableContents"/>
              <w:bidi w:val="0"/>
              <w:spacing w:before="0" w:after="0"/>
              <w:ind w:left="0" w:right="0" w:firstLine="100"/>
              <w:jc w:val="left"/>
              <w:rPr/>
            </w:pPr>
            <w:r>
              <w:rPr/>
              <w:t> </w:t>
            </w:r>
          </w:p>
        </w:tc>
      </w:tr>
      <w:tr>
        <w:trPr/>
        <w:tc>
          <w:tcPr>
            <w:tcW w:w="60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7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0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(482,314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(478,677</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187,375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690,358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277,147</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TRANSMEDICS GROUP,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consolidated_statements_operations"/>
      <w:bookmarkEnd w:id="5"/>
      <w:r>
        <w:rPr>
          <w:rFonts w:ascii="Times New Roman;serif" w:hAnsi="Times New Roman;serif"/>
          <w:b/>
          <w:sz w:val="20"/>
        </w:rPr>
        <w:t>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firstLine="100"/>
              <w:jc w:val="center"/>
              <w:rPr/>
            </w:pPr>
            <w:r>
              <w:rPr/>
              <w:t> </w:t>
            </w:r>
          </w:p>
        </w:tc>
      </w:tr>
      <w:tr>
        <w:trPr/>
        <w:tc>
          <w:tcPr>
            <w:tcW w:w="35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product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32,861</w:t>
            </w:r>
          </w:p>
        </w:tc>
        <w:tc>
          <w:tcPr>
            <w:tcW w:w="611" w:type="dxa"/>
            <w:tcBorders/>
            <w:vAlign w:val="center"/>
          </w:tcPr>
          <w:p>
            <w:pPr>
              <w:pStyle w:val="TableContents"/>
              <w:bidi w:val="0"/>
              <w:spacing w:before="0" w:after="0"/>
              <w:ind w:left="0" w:right="0" w:firstLine="100"/>
              <w:jc w:val="left"/>
              <w:rPr/>
            </w:pPr>
            <w:r>
              <w:rPr/>
              <w:t> </w:t>
            </w:r>
          </w:p>
        </w:tc>
      </w:tr>
      <w:tr>
        <w:trPr/>
        <w:tc>
          <w:tcPr>
            <w:tcW w:w="35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36,401</w:t>
            </w:r>
          </w:p>
        </w:tc>
        <w:tc>
          <w:tcPr>
            <w:tcW w:w="611" w:type="dxa"/>
            <w:tcBorders/>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100"/>
              <w:jc w:val="right"/>
              <w:rPr/>
            </w:pPr>
            <w:r>
              <w:rPr/>
              <w:t> </w:t>
            </w:r>
          </w:p>
        </w:tc>
      </w:tr>
      <w:tr>
        <w:trPr/>
        <w:tc>
          <w:tcPr>
            <w:tcW w:w="35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Cost of net product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7,458</w:t>
            </w:r>
          </w:p>
        </w:tc>
        <w:tc>
          <w:tcPr>
            <w:tcW w:w="611" w:type="dxa"/>
            <w:tcBorders/>
            <w:vAlign w:val="center"/>
          </w:tcPr>
          <w:p>
            <w:pPr>
              <w:pStyle w:val="TableContents"/>
              <w:bidi w:val="0"/>
              <w:spacing w:before="0" w:after="0"/>
              <w:ind w:left="0" w:right="0" w:firstLine="100"/>
              <w:jc w:val="left"/>
              <w:rPr/>
            </w:pPr>
            <w:r>
              <w:rPr/>
              <w:t> </w:t>
            </w:r>
          </w:p>
        </w:tc>
      </w:tr>
      <w:tr>
        <w:trPr/>
        <w:tc>
          <w:tcPr>
            <w:tcW w:w="35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52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26,454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100"/>
              <w:jc w:val="left"/>
              <w:rPr/>
            </w:pPr>
            <w:r>
              <w:rPr/>
              <w:t> </w:t>
            </w:r>
          </w:p>
        </w:tc>
      </w:tr>
      <w:tr>
        <w:trPr/>
        <w:tc>
          <w:tcPr>
            <w:tcW w:w="35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development and clinical trials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14,248</w:t>
            </w:r>
          </w:p>
        </w:tc>
        <w:tc>
          <w:tcPr>
            <w:tcW w:w="611" w:type="dxa"/>
            <w:tcBorders/>
            <w:vAlign w:val="center"/>
          </w:tcPr>
          <w:p>
            <w:pPr>
              <w:pStyle w:val="TableContents"/>
              <w:bidi w:val="0"/>
              <w:spacing w:before="0" w:after="0"/>
              <w:ind w:left="0" w:right="0" w:firstLine="100"/>
              <w:jc w:val="left"/>
              <w:rPr/>
            </w:pPr>
            <w:r>
              <w:rPr/>
              <w:t> </w:t>
            </w:r>
          </w:p>
        </w:tc>
      </w:tr>
      <w:tr>
        <w:trPr/>
        <w:tc>
          <w:tcPr>
            <w:tcW w:w="35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31,320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45,568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(1,932</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(22,057</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(22,085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Net loss per share attributable to common stockholders, </w:t>
              <w:br/>
              <w:t>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 average common shares outstanding, </w:t>
              <w:br/>
              <w:t>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32,545,352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27,983,629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32,403,597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27,967,072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TRANSMEDICS GROUP,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consolidated_statements_comprehensive_lo"/>
      <w:bookmarkEnd w:id="6"/>
      <w:r>
        <w:rPr>
          <w:rFonts w:ascii="Times New Roman;serif" w:hAnsi="Times New Roman;serif"/>
          <w:b/>
          <w:sz w:val="20"/>
        </w:rPr>
        <w:t>CONSOLIDATED STATEMENTS</w:t>
      </w:r>
      <w:r>
        <w:rPr>
          <w:rFonts w:ascii="Times New Roman" w:hAnsi="Times New Roman"/>
          <w:sz w:val="20"/>
        </w:rPr>
        <w:t xml:space="preserve"> </w:t>
      </w:r>
      <w:r>
        <w:rPr>
          <w:rFonts w:ascii="Times New Roman;serif" w:hAnsi="Times New Roman;serif"/>
          <w:b/>
          <w:sz w:val="20"/>
        </w:rPr>
        <w:t>OF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9664" w:type="dxa"/>
        <w:jc w:val="left"/>
        <w:tblInd w:w="0" w:type="dxa"/>
        <w:tblLayout w:type="fixed"/>
        <w:tblCellMar>
          <w:top w:w="28" w:type="dxa"/>
          <w:left w:w="28" w:type="dxa"/>
          <w:bottom w:w="28" w:type="dxa"/>
          <w:right w:w="28" w:type="dxa"/>
        </w:tblCellMar>
      </w:tblPr>
      <w:tblGrid>
        <w:gridCol w:w="4231"/>
        <w:gridCol w:w="146"/>
        <w:gridCol w:w="227"/>
        <w:gridCol w:w="680"/>
        <w:gridCol w:w="179"/>
        <w:gridCol w:w="157"/>
        <w:gridCol w:w="227"/>
        <w:gridCol w:w="793"/>
        <w:gridCol w:w="166"/>
        <w:gridCol w:w="146"/>
        <w:gridCol w:w="211"/>
        <w:gridCol w:w="631"/>
        <w:gridCol w:w="166"/>
        <w:gridCol w:w="146"/>
        <w:gridCol w:w="211"/>
        <w:gridCol w:w="736"/>
        <w:gridCol w:w="6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(22,085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907"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42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Unrealized gains (losses) on marketable securities, </w:t>
              <w:br/>
              <w:t>   net of tax of $0</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comprehensive income (loss)</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(1,003</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(22,203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TRANSMEDICS GROUP,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7" w:name="consolidated_statements_convertible_pref"/>
      <w:bookmarkEnd w:id="7"/>
      <w:r>
        <w:rPr>
          <w:rFonts w:ascii="Times New Roman;serif" w:hAnsi="Times New Roman;serif"/>
          <w:b/>
          <w:sz w:val="20"/>
        </w:rPr>
        <w:t>CONSOLIDATED STATEMENTS OF STOCKHOLDERS’ EQUITY</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pPr>
      <w:r>
        <w:rPr/>
        <w:t> </w:t>
      </w:r>
    </w:p>
    <w:tbl>
      <w:tblPr>
        <w:tblW w:w="9163" w:type="dxa"/>
        <w:jc w:val="left"/>
        <w:tblInd w:w="0" w:type="dxa"/>
        <w:tblLayout w:type="fixed"/>
        <w:tblCellMar>
          <w:top w:w="28" w:type="dxa"/>
          <w:left w:w="28" w:type="dxa"/>
          <w:bottom w:w="28" w:type="dxa"/>
          <w:right w:w="28" w:type="dxa"/>
        </w:tblCellMar>
      </w:tblPr>
      <w:tblGrid>
        <w:gridCol w:w="2881"/>
        <w:gridCol w:w="146"/>
        <w:gridCol w:w="146"/>
        <w:gridCol w:w="916"/>
        <w:gridCol w:w="146"/>
        <w:gridCol w:w="146"/>
        <w:gridCol w:w="196"/>
        <w:gridCol w:w="691"/>
        <w:gridCol w:w="166"/>
        <w:gridCol w:w="146"/>
        <w:gridCol w:w="270"/>
        <w:gridCol w:w="601"/>
        <w:gridCol w:w="166"/>
        <w:gridCol w:w="146"/>
        <w:gridCol w:w="196"/>
        <w:gridCol w:w="751"/>
        <w:gridCol w:w="166"/>
        <w:gridCol w:w="146"/>
        <w:gridCol w:w="205"/>
        <w:gridCol w:w="725"/>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211" w:type="dxa"/>
            <w:tcBorders/>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Stockholders'</w:t>
            </w:r>
          </w:p>
        </w:tc>
        <w:tc>
          <w:tcPr>
            <w:tcW w:w="211" w:type="dxa"/>
            <w:tcBorders/>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sive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32,141,368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666,277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(478,677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187,375</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the </w:t>
              <w:br/>
              <w:t>   exercise of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378,500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3,574</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in </w:t>
              <w:br/>
              <w:t xml:space="preserve">   connection with employee stock </w:t>
              <w:br/>
              <w:t>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384</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3,921</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32,534,003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674,156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(481,313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192,625</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the </w:t>
              <w:br/>
              <w:t>   exercise of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705</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4,958</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Purchases of capped calls related to </w:t>
              <w:br/>
              <w:t>   convertible senior notes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(52,072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(52,072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restricted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32,582,933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627,747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(482,314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145,213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9143" w:type="dxa"/>
        <w:jc w:val="left"/>
        <w:tblInd w:w="0" w:type="dxa"/>
        <w:tblLayout w:type="fixed"/>
        <w:tblCellMar>
          <w:top w:w="28" w:type="dxa"/>
          <w:left w:w="28" w:type="dxa"/>
          <w:bottom w:w="28" w:type="dxa"/>
          <w:right w:w="28" w:type="dxa"/>
        </w:tblCellMar>
      </w:tblPr>
      <w:tblGrid>
        <w:gridCol w:w="2881"/>
        <w:gridCol w:w="146"/>
        <w:gridCol w:w="146"/>
        <w:gridCol w:w="916"/>
        <w:gridCol w:w="146"/>
        <w:gridCol w:w="146"/>
        <w:gridCol w:w="196"/>
        <w:gridCol w:w="691"/>
        <w:gridCol w:w="146"/>
        <w:gridCol w:w="146"/>
        <w:gridCol w:w="270"/>
        <w:gridCol w:w="601"/>
        <w:gridCol w:w="166"/>
        <w:gridCol w:w="146"/>
        <w:gridCol w:w="196"/>
        <w:gridCol w:w="751"/>
        <w:gridCol w:w="166"/>
        <w:gridCol w:w="146"/>
        <w:gridCol w:w="212"/>
        <w:gridCol w:w="718"/>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211" w:type="dxa"/>
            <w:tcBorders/>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Stockholders'</w:t>
            </w:r>
          </w:p>
        </w:tc>
        <w:tc>
          <w:tcPr>
            <w:tcW w:w="211" w:type="dxa"/>
            <w:tcBorders/>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sive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27,791,615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510,488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(442,446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67,854</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the </w:t>
              <w:br/>
              <w:t>   exercise of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164,503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in </w:t>
              <w:br/>
              <w:t xml:space="preserve">   connection with employee stock </w:t>
              <w:br/>
              <w:t>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2,310</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losses on marketable </w:t>
              <w:br/>
              <w:t>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(10,562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27,968,583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513,203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(453,008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59,910</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the </w:t>
              <w:br/>
              <w:t>   exercise of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2,316</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restricted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gains on marketable </w:t>
              <w:br/>
              <w:t>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2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28,023,295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515,756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(464,531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50,919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consolidated financial statements.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TRANSMEDICS GROUP,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consolidated_statements_cash_flows"/>
      <w:bookmarkEnd w:id="8"/>
      <w:r>
        <w:rPr>
          <w:rFonts w:ascii="Times New Roman;serif" w:hAnsi="Times New Roman;serif"/>
          <w:b/>
          <w:sz w:val="20"/>
        </w:rPr>
        <w:t>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012" w:type="dxa"/>
        <w:jc w:val="left"/>
        <w:tblInd w:w="0" w:type="dxa"/>
        <w:tblLayout w:type="fixed"/>
        <w:tblCellMar>
          <w:top w:w="28" w:type="dxa"/>
          <w:left w:w="28" w:type="dxa"/>
          <w:bottom w:w="28" w:type="dxa"/>
          <w:right w:w="28" w:type="dxa"/>
        </w:tblCellMar>
      </w:tblPr>
      <w:tblGrid>
        <w:gridCol w:w="6106"/>
        <w:gridCol w:w="146"/>
        <w:gridCol w:w="197"/>
        <w:gridCol w:w="696"/>
        <w:gridCol w:w="167"/>
        <w:gridCol w:w="147"/>
        <w:gridCol w:w="197"/>
        <w:gridCol w:w="665"/>
        <w:gridCol w:w="69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1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8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sz w:val="18"/>
              </w:rPr>
            </w:pPr>
            <w:r>
              <w:rPr>
                <w:rFonts w:ascii="Times New Roman;serif" w:hAnsi="Times New Roman;serif"/>
                <w:b/>
                <w:sz w:val="18"/>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200"/>
              <w:jc w:val="left"/>
              <w:rPr/>
            </w:pPr>
            <w:r>
              <w:rPr/>
              <w:t> </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(3,637</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(22,085</w:t>
            </w:r>
          </w:p>
        </w:tc>
        <w:tc>
          <w:tcPr>
            <w:tcW w:w="69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300"/>
              <w:jc w:val="left"/>
              <w:rPr/>
            </w:pPr>
            <w:r>
              <w:rPr/>
              <w:t> </w:t>
            </w:r>
          </w:p>
        </w:tc>
      </w:tr>
      <w:tr>
        <w:trPr/>
        <w:tc>
          <w:tcPr>
            <w:tcW w:w="610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Depreciation and amortization expense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2,679</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1,302</w:t>
            </w:r>
          </w:p>
        </w:tc>
        <w:tc>
          <w:tcPr>
            <w:tcW w:w="691" w:type="dxa"/>
            <w:tcBorders/>
            <w:vAlign w:val="center"/>
          </w:tcPr>
          <w:p>
            <w:pPr>
              <w:pStyle w:val="TableContents"/>
              <w:bidi w:val="0"/>
              <w:spacing w:before="0" w:after="0"/>
              <w:ind w:left="0" w:right="0" w:firstLine="300"/>
              <w:jc w:val="left"/>
              <w:rPr/>
            </w:pPr>
            <w:r>
              <w:rPr/>
              <w:t> </w:t>
            </w:r>
          </w:p>
        </w:tc>
      </w:tr>
      <w:tr>
        <w:trPr/>
        <w:tc>
          <w:tcPr>
            <w:tcW w:w="610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8,879</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4,626</w:t>
            </w:r>
          </w:p>
        </w:tc>
        <w:tc>
          <w:tcPr>
            <w:tcW w:w="691" w:type="dxa"/>
            <w:tcBorders/>
            <w:vAlign w:val="center"/>
          </w:tcPr>
          <w:p>
            <w:pPr>
              <w:pStyle w:val="TableContents"/>
              <w:bidi w:val="0"/>
              <w:spacing w:before="0" w:after="0"/>
              <w:ind w:left="0" w:right="0" w:firstLine="300"/>
              <w:jc w:val="left"/>
              <w:rPr/>
            </w:pPr>
            <w:r>
              <w:rPr/>
              <w:t> </w:t>
            </w:r>
          </w:p>
        </w:tc>
      </w:tr>
      <w:tr>
        <w:trPr/>
        <w:tc>
          <w:tcPr>
            <w:tcW w:w="610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Non-cash interest expense and end of term accretion expense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593</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w:t>
            </w:r>
          </w:p>
        </w:tc>
        <w:tc>
          <w:tcPr>
            <w:tcW w:w="691" w:type="dxa"/>
            <w:tcBorders/>
            <w:vAlign w:val="center"/>
          </w:tcPr>
          <w:p>
            <w:pPr>
              <w:pStyle w:val="TableContents"/>
              <w:bidi w:val="0"/>
              <w:spacing w:before="0" w:after="0"/>
              <w:ind w:left="0" w:right="0" w:firstLine="300"/>
              <w:jc w:val="left"/>
              <w:rPr/>
            </w:pPr>
            <w:r>
              <w:rPr/>
              <w:t> </w:t>
            </w:r>
          </w:p>
        </w:tc>
      </w:tr>
      <w:tr>
        <w:trPr/>
        <w:tc>
          <w:tcPr>
            <w:tcW w:w="610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Non-cash lease expense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423</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352</w:t>
            </w:r>
          </w:p>
        </w:tc>
        <w:tc>
          <w:tcPr>
            <w:tcW w:w="691" w:type="dxa"/>
            <w:tcBorders/>
            <w:vAlign w:val="center"/>
          </w:tcPr>
          <w:p>
            <w:pPr>
              <w:pStyle w:val="TableContents"/>
              <w:bidi w:val="0"/>
              <w:spacing w:before="0" w:after="0"/>
              <w:ind w:left="0" w:right="0" w:firstLine="300"/>
              <w:jc w:val="left"/>
              <w:rPr/>
            </w:pPr>
            <w:r>
              <w:rPr/>
              <w:t> </w:t>
            </w:r>
          </w:p>
        </w:tc>
      </w:tr>
      <w:tr>
        <w:trPr/>
        <w:tc>
          <w:tcPr>
            <w:tcW w:w="610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Net amortization of premiums on marketable securities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369</w:t>
            </w:r>
          </w:p>
        </w:tc>
        <w:tc>
          <w:tcPr>
            <w:tcW w:w="691" w:type="dxa"/>
            <w:tcBorders/>
            <w:vAlign w:val="center"/>
          </w:tcPr>
          <w:p>
            <w:pPr>
              <w:pStyle w:val="TableContents"/>
              <w:bidi w:val="0"/>
              <w:spacing w:before="0" w:after="0"/>
              <w:ind w:left="0" w:right="0" w:firstLine="300"/>
              <w:jc w:val="left"/>
              <w:rPr/>
            </w:pPr>
            <w:r>
              <w:rPr/>
              <w:t> </w:t>
            </w:r>
          </w:p>
        </w:tc>
      </w:tr>
      <w:tr>
        <w:trPr/>
        <w:tc>
          <w:tcPr>
            <w:tcW w:w="610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Unrealized foreign currency transaction (gains) losses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1,034</w:t>
            </w:r>
          </w:p>
        </w:tc>
        <w:tc>
          <w:tcPr>
            <w:tcW w:w="691" w:type="dxa"/>
            <w:tcBorders/>
            <w:vAlign w:val="center"/>
          </w:tcPr>
          <w:p>
            <w:pPr>
              <w:pStyle w:val="TableContents"/>
              <w:bidi w:val="0"/>
              <w:spacing w:before="0" w:after="0"/>
              <w:ind w:left="0" w:right="0" w:firstLine="300"/>
              <w:jc w:val="left"/>
              <w:rPr/>
            </w:pPr>
            <w:r>
              <w:rPr/>
              <w:t> </w:t>
            </w:r>
          </w:p>
        </w:tc>
      </w:tr>
      <w:tr>
        <w:trPr/>
        <w:tc>
          <w:tcPr>
            <w:tcW w:w="610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400"/>
              <w:jc w:val="right"/>
              <w:rPr/>
            </w:pPr>
            <w:r>
              <w:rPr/>
              <w:t> </w:t>
            </w:r>
          </w:p>
        </w:tc>
      </w:tr>
      <w:tr>
        <w:trPr/>
        <w:tc>
          <w:tcPr>
            <w:tcW w:w="610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(19,862</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(7,131</w:t>
            </w:r>
          </w:p>
        </w:tc>
        <w:tc>
          <w:tcPr>
            <w:tcW w:w="69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Inventory</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(10,977</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(4,153</w:t>
            </w:r>
          </w:p>
        </w:tc>
        <w:tc>
          <w:tcPr>
            <w:tcW w:w="69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515</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(1,153</w:t>
            </w:r>
          </w:p>
        </w:tc>
        <w:tc>
          <w:tcPr>
            <w:tcW w:w="69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400"/>
              <w:jc w:val="left"/>
              <w:rPr/>
            </w:pPr>
            <w:r>
              <w:rPr/>
              <w:t> </w:t>
            </w:r>
          </w:p>
        </w:tc>
      </w:tr>
      <w:tr>
        <w:trPr/>
        <w:tc>
          <w:tcPr>
            <w:tcW w:w="610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3,673</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(1,615</w:t>
            </w:r>
          </w:p>
        </w:tc>
        <w:tc>
          <w:tcPr>
            <w:tcW w:w="69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4,196</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(242</w:t>
            </w:r>
          </w:p>
        </w:tc>
        <w:tc>
          <w:tcPr>
            <w:tcW w:w="69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(742</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918</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6106" w:type="dxa"/>
            <w:tcBorders/>
            <w:vAlign w:val="center"/>
          </w:tcPr>
          <w:p>
            <w:pPr>
              <w:pStyle w:val="TableContents"/>
              <w:bidi w:val="0"/>
              <w:spacing w:before="0" w:after="0"/>
              <w:ind w:left="50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(14,464</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(27,500</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sz w:val="18"/>
              </w:rPr>
            </w:pPr>
            <w:r>
              <w:rPr>
                <w:rFonts w:ascii="Times New Roman;serif" w:hAnsi="Times New Roman;serif"/>
                <w:b/>
                <w:sz w:val="18"/>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200"/>
              <w:jc w:val="left"/>
              <w:rPr/>
            </w:pPr>
            <w:r>
              <w:rPr/>
              <w:t> </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(2,307</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(6,213</w:t>
            </w:r>
          </w:p>
        </w:tc>
        <w:tc>
          <w:tcPr>
            <w:tcW w:w="69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(9,508</w:t>
            </w:r>
          </w:p>
        </w:tc>
        <w:tc>
          <w:tcPr>
            <w:tcW w:w="69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sales and 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48,250</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6106" w:type="dxa"/>
            <w:tcBorders/>
            <w:vAlign w:val="center"/>
          </w:tcPr>
          <w:p>
            <w:pPr>
              <w:pStyle w:val="TableContents"/>
              <w:bidi w:val="0"/>
              <w:spacing w:before="0" w:after="0"/>
              <w:ind w:left="500" w:right="0" w:hanging="0"/>
              <w:jc w:val="left"/>
              <w:rPr>
                <w:rFonts w:ascii="Times New Roman;serif" w:hAnsi="Times New Roman;serif"/>
                <w:b w:val="false"/>
                <w:sz w:val="18"/>
              </w:rPr>
            </w:pPr>
            <w:r>
              <w:rPr>
                <w:rFonts w:ascii="Times New Roman;serif" w:hAnsi="Times New Roman;serif"/>
                <w:b w:val="false"/>
                <w:sz w:val="18"/>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(2,307</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32,529</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sz w:val="18"/>
              </w:rPr>
            </w:pPr>
            <w:r>
              <w:rPr>
                <w:rFonts w:ascii="Times New Roman;serif" w:hAnsi="Times New Roman;serif"/>
                <w:b/>
                <w:sz w:val="18"/>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200"/>
              <w:jc w:val="left"/>
              <w:rPr/>
            </w:pPr>
            <w:r>
              <w:rPr/>
              <w:t> </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 xml:space="preserve">Proceeds from issuance of convertible senior notes, net of issuance costs </w:t>
              <w:br/>
              <w:t>  paid of $14,620</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445,380</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200"/>
              <w:jc w:val="left"/>
              <w:rPr/>
            </w:pPr>
            <w:r>
              <w:rPr/>
              <w:t> </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Purchases of capped calls related to convertible senior notes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(52,072</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200"/>
              <w:jc w:val="left"/>
              <w:rPr/>
            </w:pPr>
            <w:r>
              <w:rPr/>
              <w:t> </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4,279</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439</w:t>
            </w:r>
          </w:p>
        </w:tc>
        <w:tc>
          <w:tcPr>
            <w:tcW w:w="691" w:type="dxa"/>
            <w:tcBorders/>
            <w:vAlign w:val="center"/>
          </w:tcPr>
          <w:p>
            <w:pPr>
              <w:pStyle w:val="TableContents"/>
              <w:bidi w:val="0"/>
              <w:spacing w:before="0" w:after="0"/>
              <w:ind w:left="0" w:right="0" w:firstLine="200"/>
              <w:jc w:val="left"/>
              <w:rPr/>
            </w:pPr>
            <w:r>
              <w:rPr/>
              <w:t> </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issuance of common stock in connection with employee stock</w:t>
              <w:br/>
              <w:t>   purchase plan</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384</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203</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6106" w:type="dxa"/>
            <w:tcBorders/>
            <w:vAlign w:val="center"/>
          </w:tcPr>
          <w:p>
            <w:pPr>
              <w:pStyle w:val="TableContents"/>
              <w:bidi w:val="0"/>
              <w:spacing w:before="0" w:after="0"/>
              <w:ind w:left="500" w:right="0" w:hanging="0"/>
              <w:jc w:val="left"/>
              <w:rPr>
                <w:rFonts w:ascii="Times New Roman;serif" w:hAnsi="Times New Roman;serif"/>
                <w:b w:val="false"/>
                <w:sz w:val="18"/>
              </w:rPr>
            </w:pPr>
            <w:r>
              <w:rPr>
                <w:rFonts w:ascii="Times New Roman;serif" w:hAnsi="Times New Roman;serif"/>
                <w:b w:val="false"/>
                <w:sz w:val="18"/>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397,971</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642</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Effect of exchange rate changes on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(865</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sz w:val="18"/>
              </w:rPr>
            </w:pPr>
            <w:r>
              <w:rPr>
                <w:rFonts w:ascii="Times New Roman;serif" w:hAnsi="Times New Roman;serif"/>
                <w:b/>
                <w:sz w:val="18"/>
              </w:rPr>
              <w:t>Net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381,278</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4,806</w:t>
            </w:r>
          </w:p>
        </w:tc>
        <w:tc>
          <w:tcPr>
            <w:tcW w:w="691" w:type="dxa"/>
            <w:tcBorders/>
            <w:vAlign w:val="center"/>
          </w:tcPr>
          <w:p>
            <w:pPr>
              <w:pStyle w:val="TableContents"/>
              <w:bidi w:val="0"/>
              <w:spacing w:before="0" w:after="0"/>
              <w:ind w:left="0" w:right="0" w:firstLine="100"/>
              <w:jc w:val="left"/>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Cash, cash equivalents and restricted cash, beginning of period</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201,682</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26,080</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582,960</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30,886</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sz w:val="18"/>
              </w:rPr>
            </w:pPr>
            <w:r>
              <w:rPr>
                <w:rFonts w:ascii="Times New Roman;serif" w:hAnsi="Times New Roman;serif"/>
                <w:b/>
                <w:sz w:val="18"/>
              </w:rPr>
              <w:t>Supplemental disclosure of non-cash activities:</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100"/>
              <w:jc w:val="right"/>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Transfers of inventory to property and equipment</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1,091</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1,350</w:t>
            </w:r>
          </w:p>
        </w:tc>
        <w:tc>
          <w:tcPr>
            <w:tcW w:w="691" w:type="dxa"/>
            <w:tcBorders/>
            <w:vAlign w:val="center"/>
          </w:tcPr>
          <w:p>
            <w:pPr>
              <w:pStyle w:val="TableContents"/>
              <w:bidi w:val="0"/>
              <w:spacing w:before="0" w:after="0"/>
              <w:ind w:left="0" w:right="0" w:firstLine="100"/>
              <w:jc w:val="left"/>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 xml:space="preserve">Purchases of property and equipment included in accounts payable and accrued </w:t>
              <w:br/>
              <w:t>   expenses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1,327</w:t>
            </w:r>
          </w:p>
        </w:tc>
        <w:tc>
          <w:tcPr>
            <w:tcW w:w="691" w:type="dxa"/>
            <w:tcBorders/>
            <w:vAlign w:val="center"/>
          </w:tcPr>
          <w:p>
            <w:pPr>
              <w:pStyle w:val="TableContents"/>
              <w:bidi w:val="0"/>
              <w:spacing w:before="0" w:after="0"/>
              <w:ind w:left="0" w:right="0" w:firstLine="100"/>
              <w:jc w:val="left"/>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Operating lease liabilities arising from obtaining right-of-use assets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2,222</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5"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100"/>
              <w:jc w:val="left"/>
              <w:rPr/>
            </w:pPr>
            <w:r>
              <w:rPr/>
              <w:t> </w:t>
            </w:r>
          </w:p>
        </w:tc>
      </w:tr>
      <w:tr>
        <w:trPr/>
        <w:tc>
          <w:tcPr>
            <w:tcW w:w="6106" w:type="dxa"/>
            <w:tcBorders/>
            <w:vAlign w:val="center"/>
          </w:tcPr>
          <w:p>
            <w:pPr>
              <w:pStyle w:val="TableContents"/>
              <w:bidi w:val="0"/>
              <w:spacing w:before="0" w:after="0"/>
              <w:ind w:left="100" w:right="0" w:hanging="0"/>
              <w:jc w:val="left"/>
              <w:rPr>
                <w:rFonts w:ascii="Times New Roman;serif" w:hAnsi="Times New Roman;serif"/>
                <w:b/>
                <w:sz w:val="18"/>
              </w:rPr>
            </w:pPr>
            <w:r>
              <w:rPr>
                <w:rFonts w:ascii="Times New Roman;serif" w:hAnsi="Times New Roman;serif"/>
                <w:b/>
                <w:sz w:val="18"/>
              </w:rPr>
              <w:t>Reconciliation of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200"/>
              <w:jc w:val="left"/>
              <w:rPr/>
            </w:pPr>
            <w:r>
              <w:rPr/>
              <w:t> </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582,210</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30,386</w:t>
            </w:r>
          </w:p>
        </w:tc>
        <w:tc>
          <w:tcPr>
            <w:tcW w:w="691" w:type="dxa"/>
            <w:tcBorders/>
            <w:vAlign w:val="center"/>
          </w:tcPr>
          <w:p>
            <w:pPr>
              <w:pStyle w:val="TableContents"/>
              <w:bidi w:val="0"/>
              <w:spacing w:before="0" w:after="0"/>
              <w:ind w:left="0" w:right="0" w:firstLine="200"/>
              <w:jc w:val="left"/>
              <w:rPr/>
            </w:pPr>
            <w:r>
              <w:rPr/>
              <w:t> </w:t>
            </w:r>
          </w:p>
        </w:tc>
      </w:tr>
      <w:tr>
        <w:trPr/>
        <w:tc>
          <w:tcPr>
            <w:tcW w:w="61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Restricted cash</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750</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500</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610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Total cash, cash equivalents and restricted cash shown in the statement of cash flows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582,960</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30,886</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TRANSMEDICS GROUP,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notes_to_consolidated_financial_statemen"/>
      <w:bookmarkEnd w:id="9"/>
      <w:r>
        <w:rPr>
          <w:rFonts w:ascii="Times New Roman;serif" w:hAnsi="Times New Roman;serif"/>
          <w:b/>
          <w:sz w:val="20"/>
        </w:rPr>
        <w:t>NOTES TO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1. Nature of the Business and Basis of Presentation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TransMedics Group, Inc. (“TransMedics Group” and, together with its consolidated subsidiaries, the “Company”) was incorporated in the Commonwealth of Massachusetts in October 2018. TransMedics, Inc. (“TransMedics”), an operating company and wholly owned subsidiary of TransMedics Group, was incorporated in the State of Delaware in August 1998. The Company is a commercial-stage medical technology company transforming organ transplant therapy for end-stage organ failure patients across multiple disease states. The Company developed the Organ Care System (“OCS”) to replace a decades-old standard of care. The OCS represents a paradigm shift that transforms organ preservation for transplantation from a static state to a dynamic environment that enables new capabilities, including organ optimization and assessment. The Company’s OCS technology replicates many aspects of the organ’s natural living and functioning environment outside of the human body. The Company also developed its National OCS Program (“NOP”), an innovative turnkey solution to provide outsourced organ retrieval and OCS organ management, to provide transplant programs in the United States with a more efficient process to procure donor organs with the OCS.</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consolidated financial statements have been prepared on the basis of continuity of operations, realization of assets and the satisfaction of liabilities and commitments in the ordinary course of business. The Company has incurred recurring losses since inception, including net losses of $3.6</w:t>
      </w:r>
      <w:r>
        <w:rPr>
          <w:rFonts w:ascii="Times New Roman" w:hAnsi="Times New Roman"/>
          <w:sz w:val="20"/>
        </w:rPr>
        <w:t xml:space="preserve"> </w:t>
      </w:r>
      <w:r>
        <w:rPr>
          <w:rFonts w:ascii="Times New Roman;serif" w:hAnsi="Times New Roman;serif"/>
          <w:b w:val="false"/>
          <w:sz w:val="20"/>
        </w:rPr>
        <w:t>million for the six months ended June 30, 2023</w:t>
      </w:r>
      <w:r>
        <w:rPr>
          <w:rFonts w:ascii="Times New Roman" w:hAnsi="Times New Roman"/>
          <w:sz w:val="20"/>
        </w:rPr>
        <w:t xml:space="preserve"> </w:t>
      </w:r>
      <w:r>
        <w:rPr>
          <w:rFonts w:ascii="Times New Roman;serif" w:hAnsi="Times New Roman;serif"/>
          <w:b w:val="false"/>
          <w:sz w:val="20"/>
        </w:rPr>
        <w:t>and $36.2</w:t>
      </w:r>
      <w:r>
        <w:rPr>
          <w:rFonts w:ascii="Times New Roman" w:hAnsi="Times New Roman"/>
          <w:sz w:val="20"/>
        </w:rPr>
        <w:t xml:space="preserve"> </w:t>
      </w:r>
      <w:r>
        <w:rPr>
          <w:rFonts w:ascii="Times New Roman;serif" w:hAnsi="Times New Roman;serif"/>
          <w:b w:val="false"/>
          <w:sz w:val="20"/>
        </w:rPr>
        <w:t>million for the year ended December 31, 2022. As of June 30, 2023, the Company had an accumulated deficit of $482.3</w:t>
      </w:r>
      <w:r>
        <w:rPr>
          <w:rFonts w:ascii="Times New Roman" w:hAnsi="Times New Roman"/>
          <w:sz w:val="20"/>
        </w:rPr>
        <w:t xml:space="preserve"> </w:t>
      </w:r>
      <w:r>
        <w:rPr>
          <w:rFonts w:ascii="Times New Roman;serif" w:hAnsi="Times New Roman;serif"/>
          <w:b w:val="false"/>
          <w:sz w:val="20"/>
        </w:rPr>
        <w:t>million. The Company expects to continue to generate operating losses in the foreseeable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believes that its existing cash of $582.2</w:t>
      </w:r>
      <w:r>
        <w:rPr>
          <w:rFonts w:ascii="Times New Roman" w:hAnsi="Times New Roman"/>
          <w:sz w:val="20"/>
        </w:rPr>
        <w:t xml:space="preserve"> </w:t>
      </w:r>
      <w:r>
        <w:rPr>
          <w:rFonts w:ascii="Times New Roman;serif" w:hAnsi="Times New Roman;serif"/>
          <w:b w:val="false"/>
          <w:sz w:val="20"/>
        </w:rPr>
        <w:t>million as of June 30, 2023 will be sufficient to fund its operations, capital expenditures, and debt service payments for at least the next 12 months following the filing of this Quarterly Report on Form 10-Q. The Company may need to seek additional funding through equity financings, debt financings or strategic alliances. The Company may not be able to obtain financing on acceptable terms, or at all, and the terms of any financing may adversely affect the holdings or the rights of the Company’s shareholders. If the Company is unable to obtain funding, the Company will be required to delay, reduce or eliminate some or all of its research and development programs, product expansion or commercialization efforts, or the Company may be unable to continue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subject to risks and uncertainties common to companies in the medical device industry and of similar size, including, but not limited to, development by competitors of new technological innovations, dependence on key personnel, protection of proprietary technology, compliance with government regulations, uncertainty of market acceptance of products, and the need to obtain additional financing to fund operations. Products currently under development will require additional research and development efforts, including additional clinical testing and regulatory approval, prior to commercialization. These efforts require additional capital, adequate personnel, infrastructure and extensive compliance-reporting capabilities. The Company’s research and development may not be successfully completed, adequate protection for the Company’s technology may not be obtained, the Company may not obtain necessary government regulatory approval on its expected timeline or at all, and approved products may not prove commercially viable. The Company operates in an environment of rapid change in technology and competition.</w:t>
      </w:r>
    </w:p>
    <w:p>
      <w:pPr>
        <w:pStyle w:val="TextBody"/>
        <w:bidi w:val="0"/>
        <w:spacing w:before="120" w:after="0"/>
        <w:jc w:val="left"/>
        <w:rPr>
          <w:rFonts w:ascii="Times New Roman" w:hAnsi="Times New Roman"/>
          <w:sz w:val="20"/>
        </w:rPr>
      </w:pPr>
      <w:r>
        <w:rPr>
          <w:rFonts w:ascii="Times New Roman;serif" w:hAnsi="Times New Roman;serif"/>
          <w:b w:val="false"/>
          <w:sz w:val="20"/>
        </w:rPr>
        <w:t>Continued impacts to the Company’s business as a result of the COVID-19 pandemic may include decreased overall frequency of transplant procedures; disruptions to the Company’s manufacturing operations and supply chain; labor shortages; decreased productivity and unavailability of materials or components; limitations on its employees’ and customers’ ability to travel, and delays in product installations, trainings or shipments to and from other affected countries and within the United States. While the Company maintains an inventory of finished products and raw materials used in its OCS products, a further prolonged pandemic could lead to shortages in the raw materials necessary to manufacture its products.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 The accompanying consolidated financial statements include the accounts of the Company and its wholly owned subsidiaries. All intercompany accounts and transactions have been eliminated in consolidation.</w:t>
      </w:r>
    </w:p>
    <w:p>
      <w:pPr>
        <w:pStyle w:val="TextBody"/>
        <w:bidi w:val="0"/>
        <w:spacing w:before="240" w:after="0"/>
        <w:jc w:val="left"/>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Unaudited Interim Financial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unaudited interim financial statements and related notes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consolidated financial statements should be read in conjunction with the Company’s audited consolidated financial statements and the notes thereto for the year ended December 31, 2022 included in the Company’s Annual Report on Form 10-K filed with the SEC. In the opinion of management, all adjustments, consisting only of normal recurring adjustments necessary for a fair statement of the Company’s financial position as of June 30, 2023 and results of operations for the three and six months ended June 30, 2023 and 2022 and cash flows for the six months ended June 30, 2023 and 2022 have been made. The Company’s results of operations for the three and six months ended June 30, 2023</w:t>
      </w:r>
      <w:r>
        <w:rPr>
          <w:rFonts w:ascii="Times New Roman" w:hAnsi="Times New Roman"/>
          <w:sz w:val="20"/>
        </w:rPr>
        <w:t xml:space="preserve"> </w:t>
      </w:r>
      <w:r>
        <w:rPr>
          <w:rFonts w:ascii="Times New Roman;serif" w:hAnsi="Times New Roman;serif"/>
          <w:b w:val="false"/>
          <w:sz w:val="20"/>
        </w:rPr>
        <w:t>are not necessarily indicative of the results of operations that may be expected for the year ending December 31,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unaudited consolidated financial statements include, but are not limited to, revenue recognition, the valuation of inventory and the valuation of stock-based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As of the date of issuance of these unaudited consolidated financial statements, the Company is not aware of any specific event or circumstance that would require the Company to update estimates, judgments or revise the carrying value of any assets or liabilities.</w:t>
      </w:r>
      <w:r>
        <w:rPr>
          <w:rFonts w:ascii="Times New Roman" w:hAnsi="Times New Roman"/>
          <w:sz w:val="20"/>
        </w:rPr>
        <w:t xml:space="preserve"> </w:t>
      </w:r>
      <w:r>
        <w:rPr>
          <w:rFonts w:ascii="Times New Roman;serif" w:hAnsi="Times New Roman;serif"/>
          <w:b w:val="false"/>
          <w:sz w:val="20"/>
        </w:rPr>
        <w:t>Actual results may differ from those estimates or assumptions.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Risk of Concentrations of Credit, Significant Customers and Significant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instruments that potentially expose the Company to concentrations of credit risk consist primarily of cash and accounts receivable. The Company does not believe that it is subject to unusual credit risk beyond the normal credit risk associated with commercial banking relationships. As of June 30, 2023</w:t>
      </w:r>
      <w:r>
        <w:rPr>
          <w:rFonts w:ascii="Times New Roman" w:hAnsi="Times New Roman"/>
          <w:sz w:val="20"/>
        </w:rPr>
        <w:t xml:space="preserve"> </w:t>
      </w:r>
      <w:r>
        <w:rPr>
          <w:rFonts w:ascii="Times New Roman;serif" w:hAnsi="Times New Roman;serif"/>
          <w:b w:val="false"/>
          <w:sz w:val="20"/>
        </w:rPr>
        <w:t>and December 31, 2022, the Company had no</w:t>
      </w:r>
      <w:r>
        <w:rPr>
          <w:rFonts w:ascii="Times New Roman" w:hAnsi="Times New Roman"/>
          <w:sz w:val="20"/>
        </w:rPr>
        <w:t xml:space="preserve"> </w:t>
      </w:r>
      <w:r>
        <w:rPr>
          <w:rFonts w:ascii="Times New Roman;serif" w:hAnsi="Times New Roman;serif"/>
          <w:b w:val="false"/>
          <w:sz w:val="20"/>
        </w:rPr>
        <w:t>allowance for credit losses.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Significant customers are those that accounted for 10% or more of the Company’s revenue or accounts receivable. For the three and six months ended June 30, 2023, no customer accounted for more than 10% of revenue. For the three and six months ended June 30, 2022, one customer accounted for 17% of revenue. As of June 30, 2023</w:t>
      </w:r>
      <w:r>
        <w:rPr>
          <w:rFonts w:ascii="Times New Roman" w:hAnsi="Times New Roman"/>
          <w:sz w:val="20"/>
        </w:rPr>
        <w:t xml:space="preserve"> </w:t>
      </w:r>
      <w:r>
        <w:rPr>
          <w:rFonts w:ascii="Times New Roman;serif" w:hAnsi="Times New Roman;serif"/>
          <w:b w:val="false"/>
          <w:sz w:val="20"/>
        </w:rPr>
        <w:t>one customer accounted for 11% of accounts receivable. As of December 31, 2022, no customer accounted for more than 10% of accounts receivable.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Certain of the components and subassemblies included in the Company’s products are obtained from a sole source, a single source or a limited group of suppliers, as are sterilization services. Although the Company seeks to reduce dependence on those limited sources of suppliers, manufacturers and service providers, the partial or complete loss of certain of these sources could have a material adverse effect on the Company’s operating results, financial condition and cash flows and damage its customer relationships.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Fair Value Measurements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1—Quoted prices in active markets for identical assets or liabilities.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carrying values of the Company’s accounts receivable, accounts payable and accrued expenses approximate their fair values due to the short-term nature of these assets and liabilities. The carrying value of the Company’s long-term debt approximates its fair value (a level 2 measurement) at each balance sheet date due to its variable interest rate, which approximates a market interest rate. The Company's 1.50% Convertible Senior Notes due 2028 (the "Notes") are carried at the face value less unamortized debt discount and issuance costs on the consolidated balance sheets, and the fair value of the convertible senior notes is presented at each reporting period for disclosure purposes only.</w:t>
      </w:r>
    </w:p>
    <w:p>
      <w:pPr>
        <w:pStyle w:val="TextBody"/>
        <w:bidi w:val="0"/>
        <w:spacing w:before="240" w:after="0"/>
        <w:jc w:val="left"/>
        <w:rPr>
          <w:rFonts w:ascii="Times New Roman" w:hAnsi="Times New Roman"/>
          <w:sz w:val="20"/>
        </w:rPr>
      </w:pPr>
      <w:r>
        <w:rPr>
          <w:rFonts w:ascii="Times New Roman;serif" w:hAnsi="Times New Roman;serif"/>
          <w:b/>
          <w:i/>
          <w:sz w:val="20"/>
        </w:rPr>
        <w:t>Segment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manages its operations as a single</w:t>
      </w:r>
      <w:r>
        <w:rPr>
          <w:rFonts w:ascii="Times New Roman" w:hAnsi="Times New Roman"/>
          <w:sz w:val="20"/>
        </w:rPr>
        <w:t xml:space="preserve"> </w:t>
      </w:r>
      <w:r>
        <w:rPr>
          <w:rFonts w:ascii="Times New Roman;serif" w:hAnsi="Times New Roman;serif"/>
          <w:b w:val="false"/>
          <w:sz w:val="20"/>
        </w:rPr>
        <w:t>segment for the purposes of assessing performance and making operating decisions. The Company has developed and is commercializing a proprietary system to preserve human organs for transplant in a near-physiologic condition to address the limitations of cold storage organ preservation. Operating segments are defined as components of an enterprise for which separate financial information is regularly evaluated by the Company’s chief operating decision maker, or decision-making group, in deciding how to allocate resources and assess performance.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w:t>
      </w:r>
      <w:r>
        <w:rPr>
          <w:rFonts w:ascii="Times New Roman" w:hAnsi="Times New Roman"/>
          <w:sz w:val="20"/>
        </w:rPr>
        <w:t xml:space="preserve"> </w:t>
      </w:r>
    </w:p>
    <w:p>
      <w:pPr>
        <w:pStyle w:val="TextBody"/>
        <w:bidi w:val="0"/>
        <w:spacing w:before="240" w:after="120"/>
        <w:jc w:val="left"/>
        <w:rPr>
          <w:rFonts w:ascii="Times New Roman" w:hAnsi="Times New Roman"/>
          <w:sz w:val="20"/>
        </w:rPr>
      </w:pPr>
      <w:r>
        <w:rPr>
          <w:rFonts w:ascii="Times New Roman;serif" w:hAnsi="Times New Roman;serif"/>
          <w:b/>
          <w:i/>
          <w:sz w:val="20"/>
        </w:rPr>
        <w:t>Net Income (Loss) per Share</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shares of common stock outstanding for the period, including potential dilutive common shares assuming the dilutive effect of outstanding common stock equivalents. For periods in which the Company reports a net loss, diluted net loss per common share is the same as basic net loss per common share, since dilutive common shares are not assumed to have been issued if their effect is anti-dilutive. The Company reported a net loss attributable to common stockholders for each of the three and six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potential dilutive securities have been excluded from the computation of diluted net loss per share as the effect would be to reduce the net loss per share. The Company excluded the following potential common shares, presented based on amounts outstanding at each period end, from the computation of diluted net loss per share attributable to common stockholders for the periods indicated above because including them would have had an anti-dilutive effect:</w:t>
      </w:r>
    </w:p>
    <w:p>
      <w:pPr>
        <w:pStyle w:val="TextBody"/>
        <w:bidi w:val="0"/>
        <w:spacing w:before="0" w:after="0"/>
        <w:jc w:val="both"/>
        <w:rPr/>
      </w:pPr>
      <w:r>
        <w:rPr/>
        <w:t> </w:t>
      </w:r>
    </w:p>
    <w:tbl>
      <w:tblPr>
        <w:tblW w:w="5829"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146"/>
        <w:gridCol w:w="93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64,440</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3,223,074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3,476,064</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17,678</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23,120</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senior notes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4,893,848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8,376,684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3,581,302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3. Marketable Securities and Fair Value Measurements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did not have marketable securities as of June 30, 2023</w:t>
      </w:r>
      <w:r>
        <w:rPr>
          <w:rFonts w:ascii="Times New Roman" w:hAnsi="Times New Roman"/>
          <w:sz w:val="20"/>
        </w:rPr>
        <w:t xml:space="preserve"> </w:t>
      </w:r>
      <w:r>
        <w:rPr>
          <w:rFonts w:ascii="Times New Roman;serif" w:hAnsi="Times New Roman;serif"/>
          <w:b w:val="false"/>
          <w:sz w:val="20"/>
        </w:rPr>
        <w:t>or December 31, 2022. The Company also did not have assets or liabilities measured at fair value on a recurring basis as of June 30, 2023 or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Convertible Senior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carrying value of the Notes was $445.8</w:t>
      </w:r>
      <w:r>
        <w:rPr>
          <w:rFonts w:ascii="Times New Roman" w:hAnsi="Times New Roman"/>
          <w:sz w:val="20"/>
        </w:rPr>
        <w:t xml:space="preserve"> </w:t>
      </w:r>
      <w:r>
        <w:rPr>
          <w:rFonts w:ascii="Times New Roman;serif" w:hAnsi="Times New Roman;serif"/>
          <w:b w:val="false"/>
          <w:sz w:val="20"/>
        </w:rPr>
        <w:t>million (see Note 6) and the estimated fair value of the Notes was $528.3</w:t>
      </w:r>
      <w:r>
        <w:rPr>
          <w:rFonts w:ascii="Times New Roman" w:hAnsi="Times New Roman"/>
          <w:sz w:val="20"/>
        </w:rPr>
        <w:t xml:space="preserve"> </w:t>
      </w:r>
      <w:r>
        <w:rPr>
          <w:rFonts w:ascii="Times New Roman;serif" w:hAnsi="Times New Roman;serif"/>
          <w:b w:val="false"/>
          <w:sz w:val="20"/>
        </w:rPr>
        <w:t>million. The fair value was determined based on the quoted price of the last trade of the Notes prior to the end of the reporting period in an inactive market, which is considered as Level 2 in the fair value hierarchy.</w:t>
      </w:r>
    </w:p>
    <w:p>
      <w:pPr>
        <w:pStyle w:val="TextBody"/>
        <w:bidi w:val="0"/>
        <w:spacing w:before="240" w:after="0"/>
        <w:jc w:val="left"/>
        <w:rPr>
          <w:rFonts w:ascii="Times New Roman" w:hAnsi="Times New Roman"/>
          <w:sz w:val="20"/>
        </w:rPr>
      </w:pPr>
      <w:r>
        <w:rPr>
          <w:rFonts w:ascii="Times New Roman;serif" w:hAnsi="Times New Roman;serif"/>
          <w:b/>
          <w:sz w:val="20"/>
        </w:rPr>
        <w:t>4. Inventory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Inventory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4710" w:type="dxa"/>
        <w:jc w:val="left"/>
        <w:tblInd w:w="0" w:type="dxa"/>
        <w:tblLayout w:type="fixed"/>
        <w:tblCellMar>
          <w:top w:w="28" w:type="dxa"/>
          <w:left w:w="28" w:type="dxa"/>
          <w:bottom w:w="28" w:type="dxa"/>
          <w:right w:w="28" w:type="dxa"/>
        </w:tblCellMar>
      </w:tblPr>
      <w:tblGrid>
        <w:gridCol w:w="1456"/>
        <w:gridCol w:w="146"/>
        <w:gridCol w:w="267"/>
        <w:gridCol w:w="858"/>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10,939</w:t>
            </w:r>
          </w:p>
        </w:tc>
        <w:tc>
          <w:tcPr>
            <w:tcW w:w="191" w:type="dxa"/>
            <w:tcBorders/>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Work-in-process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w:t>
            </w:r>
          </w:p>
        </w:tc>
        <w:tc>
          <w:tcPr>
            <w:tcW w:w="191" w:type="dxa"/>
            <w:tcBorders/>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20,605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5. Accrued Expenses and Other Current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Accrued expenses and other current liabilities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8491" w:type="dxa"/>
        <w:jc w:val="left"/>
        <w:tblInd w:w="0" w:type="dxa"/>
        <w:tblLayout w:type="fixed"/>
        <w:tblCellMar>
          <w:top w:w="28" w:type="dxa"/>
          <w:left w:w="28" w:type="dxa"/>
          <w:bottom w:w="28" w:type="dxa"/>
          <w:right w:w="28" w:type="dxa"/>
        </w:tblCellMar>
      </w:tblPr>
      <w:tblGrid>
        <w:gridCol w:w="4891"/>
        <w:gridCol w:w="246"/>
        <w:gridCol w:w="146"/>
        <w:gridCol w:w="267"/>
        <w:gridCol w:w="858"/>
        <w:gridCol w:w="146"/>
        <w:gridCol w:w="146"/>
        <w:gridCol w:w="357"/>
        <w:gridCol w:w="1143"/>
        <w:gridCol w:w="291"/>
      </w:tblGrid>
      <w:tr>
        <w:trPr/>
        <w:tc>
          <w:tcPr>
            <w:tcW w:w="48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48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payroll and related expenses</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9,812</w:t>
            </w:r>
          </w:p>
        </w:tc>
        <w:tc>
          <w:tcPr>
            <w:tcW w:w="291" w:type="dxa"/>
            <w:tcBorders/>
            <w:vAlign w:val="center"/>
          </w:tcPr>
          <w:p>
            <w:pPr>
              <w:pStyle w:val="TableContents"/>
              <w:bidi w:val="0"/>
              <w:spacing w:before="0" w:after="0"/>
              <w:ind w:left="0" w:right="0" w:firstLine="100"/>
              <w:jc w:val="left"/>
              <w:rPr/>
            </w:pPr>
            <w:r>
              <w:rPr/>
              <w:t> </w:t>
            </w:r>
          </w:p>
        </w:tc>
      </w:tr>
      <w:tr>
        <w:trPr/>
        <w:tc>
          <w:tcPr>
            <w:tcW w:w="48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logistics costs</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2,581</w:t>
            </w:r>
          </w:p>
        </w:tc>
        <w:tc>
          <w:tcPr>
            <w:tcW w:w="291" w:type="dxa"/>
            <w:tcBorders/>
            <w:vAlign w:val="center"/>
          </w:tcPr>
          <w:p>
            <w:pPr>
              <w:pStyle w:val="TableContents"/>
              <w:bidi w:val="0"/>
              <w:spacing w:before="0" w:after="0"/>
              <w:ind w:left="0" w:right="0" w:firstLine="100"/>
              <w:jc w:val="left"/>
              <w:rPr/>
            </w:pPr>
            <w:r>
              <w:rPr/>
              <w:t> </w:t>
            </w:r>
          </w:p>
        </w:tc>
      </w:tr>
      <w:tr>
        <w:trPr/>
        <w:tc>
          <w:tcPr>
            <w:tcW w:w="48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research, development and clinical trials expenses</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w:t>
            </w:r>
          </w:p>
        </w:tc>
        <w:tc>
          <w:tcPr>
            <w:tcW w:w="291" w:type="dxa"/>
            <w:tcBorders/>
            <w:vAlign w:val="center"/>
          </w:tcPr>
          <w:p>
            <w:pPr>
              <w:pStyle w:val="TableContents"/>
              <w:bidi w:val="0"/>
              <w:spacing w:before="0" w:after="0"/>
              <w:ind w:left="0" w:right="0" w:firstLine="100"/>
              <w:jc w:val="left"/>
              <w:rPr/>
            </w:pPr>
            <w:r>
              <w:rPr/>
              <w:t> </w:t>
            </w:r>
          </w:p>
        </w:tc>
      </w:tr>
      <w:tr>
        <w:trPr/>
        <w:tc>
          <w:tcPr>
            <w:tcW w:w="48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professional fees</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291" w:type="dxa"/>
            <w:tcBorders/>
            <w:vAlign w:val="center"/>
          </w:tcPr>
          <w:p>
            <w:pPr>
              <w:pStyle w:val="TableContents"/>
              <w:bidi w:val="0"/>
              <w:spacing w:before="0" w:after="0"/>
              <w:ind w:left="0" w:right="0" w:firstLine="100"/>
              <w:jc w:val="left"/>
              <w:rPr/>
            </w:pPr>
            <w:r>
              <w:rPr/>
              <w:t> </w:t>
            </w:r>
          </w:p>
        </w:tc>
      </w:tr>
      <w:tr>
        <w:trPr/>
        <w:tc>
          <w:tcPr>
            <w:tcW w:w="48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other</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891"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18,635</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6. Long-Term Debt and Financing Arrangements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Convertible Senior Notes</w:t>
      </w:r>
    </w:p>
    <w:p>
      <w:pPr>
        <w:pStyle w:val="TextBody"/>
        <w:bidi w:val="0"/>
        <w:spacing w:before="120" w:after="120"/>
        <w:jc w:val="left"/>
        <w:rPr>
          <w:rFonts w:ascii="Times New Roman" w:hAnsi="Times New Roman"/>
          <w:sz w:val="20"/>
        </w:rPr>
      </w:pPr>
      <w:r>
        <w:rPr>
          <w:rFonts w:ascii="Times New Roman;serif" w:hAnsi="Times New Roman;serif"/>
          <w:b w:val="false"/>
          <w:sz w:val="20"/>
        </w:rPr>
        <w:t>Convertible senior notes consisted of the following (in thousands):</w:t>
      </w:r>
      <w:r>
        <w:rPr>
          <w:rFonts w:ascii="Times New Roman" w:hAnsi="Times New Roman"/>
          <w:sz w:val="20"/>
        </w:rPr>
        <w:t xml:space="preserve"> </w:t>
      </w:r>
    </w:p>
    <w:tbl>
      <w:tblPr>
        <w:tblW w:w="6888" w:type="dxa"/>
        <w:jc w:val="left"/>
        <w:tblInd w:w="0" w:type="dxa"/>
        <w:tblLayout w:type="fixed"/>
        <w:tblCellMar>
          <w:top w:w="28" w:type="dxa"/>
          <w:left w:w="28" w:type="dxa"/>
          <w:bottom w:w="28" w:type="dxa"/>
          <w:right w:w="28" w:type="dxa"/>
        </w:tblCellMar>
      </w:tblPr>
      <w:tblGrid>
        <w:gridCol w:w="5126"/>
        <w:gridCol w:w="146"/>
        <w:gridCol w:w="239"/>
        <w:gridCol w:w="886"/>
        <w:gridCol w:w="491"/>
      </w:tblGrid>
      <w:tr>
        <w:trPr/>
        <w:tc>
          <w:tcPr>
            <w:tcW w:w="5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51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Principal amount of convertible senior notes</w:t>
            </w:r>
          </w:p>
        </w:tc>
        <w:tc>
          <w:tcPr>
            <w:tcW w:w="146" w:type="dxa"/>
            <w:tcBorders/>
            <w:vAlign w:val="center"/>
          </w:tcPr>
          <w:p>
            <w:pPr>
              <w:pStyle w:val="TableContents"/>
              <w:bidi w:val="0"/>
              <w:spacing w:before="0" w:after="0"/>
              <w:ind w:left="10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460,000</w:t>
            </w:r>
          </w:p>
        </w:tc>
        <w:tc>
          <w:tcPr>
            <w:tcW w:w="491" w:type="dxa"/>
            <w:tcBorders/>
            <w:vAlign w:val="center"/>
          </w:tcPr>
          <w:p>
            <w:pPr>
              <w:pStyle w:val="TableContents"/>
              <w:bidi w:val="0"/>
              <w:spacing w:before="0" w:after="0"/>
              <w:ind w:left="0" w:right="0" w:firstLine="300"/>
              <w:jc w:val="left"/>
              <w:rPr/>
            </w:pPr>
            <w:r>
              <w:rPr/>
              <w:t> </w:t>
            </w:r>
          </w:p>
        </w:tc>
      </w:tr>
      <w:tr>
        <w:trPr/>
        <w:tc>
          <w:tcPr>
            <w:tcW w:w="512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Less: Current portion of convertible senior notes</w:t>
            </w:r>
          </w:p>
        </w:tc>
        <w:tc>
          <w:tcPr>
            <w:tcW w:w="146" w:type="dxa"/>
            <w:tcBorders/>
            <w:vAlign w:val="center"/>
          </w:tcPr>
          <w:p>
            <w:pPr>
              <w:pStyle w:val="TableContents"/>
              <w:bidi w:val="0"/>
              <w:spacing w:before="0" w:after="0"/>
              <w:ind w:left="20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512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Convertible senior notes, net of current portion</w:t>
            </w:r>
          </w:p>
        </w:tc>
        <w:tc>
          <w:tcPr>
            <w:tcW w:w="146" w:type="dxa"/>
            <w:tcBorders/>
            <w:vAlign w:val="center"/>
          </w:tcPr>
          <w:p>
            <w:pPr>
              <w:pStyle w:val="TableContents"/>
              <w:bidi w:val="0"/>
              <w:spacing w:before="0" w:after="0"/>
              <w:ind w:left="20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460,000</w:t>
            </w:r>
          </w:p>
        </w:tc>
        <w:tc>
          <w:tcPr>
            <w:tcW w:w="491" w:type="dxa"/>
            <w:tcBorders/>
            <w:vAlign w:val="center"/>
          </w:tcPr>
          <w:p>
            <w:pPr>
              <w:pStyle w:val="TableContents"/>
              <w:bidi w:val="0"/>
              <w:spacing w:before="0" w:after="0"/>
              <w:ind w:left="0" w:right="0" w:firstLine="300"/>
              <w:jc w:val="left"/>
              <w:rPr/>
            </w:pPr>
            <w:r>
              <w:rPr/>
              <w:t> </w:t>
            </w:r>
          </w:p>
        </w:tc>
      </w:tr>
      <w:tr>
        <w:trPr/>
        <w:tc>
          <w:tcPr>
            <w:tcW w:w="51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Debt discount, net of accretion</w:t>
            </w:r>
          </w:p>
        </w:tc>
        <w:tc>
          <w:tcPr>
            <w:tcW w:w="146" w:type="dxa"/>
            <w:tcBorders/>
            <w:vAlign w:val="center"/>
          </w:tcPr>
          <w:p>
            <w:pPr>
              <w:pStyle w:val="TableContents"/>
              <w:bidi w:val="0"/>
              <w:spacing w:before="0" w:after="0"/>
              <w:ind w:left="10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(14,239</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Convertible senior notes, net of discount and current portion</w:t>
            </w:r>
          </w:p>
        </w:tc>
        <w:tc>
          <w:tcPr>
            <w:tcW w:w="146" w:type="dxa"/>
            <w:tcBorders/>
            <w:vAlign w:val="center"/>
          </w:tcPr>
          <w:p>
            <w:pPr>
              <w:pStyle w:val="TableContents"/>
              <w:bidi w:val="0"/>
              <w:spacing w:before="0" w:after="0"/>
              <w:ind w:left="10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445,761</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On May 11, 2023, the Company issued $460.0</w:t>
      </w:r>
      <w:r>
        <w:rPr>
          <w:rFonts w:ascii="Times New Roman" w:hAnsi="Times New Roman"/>
          <w:sz w:val="20"/>
        </w:rPr>
        <w:t xml:space="preserve"> </w:t>
      </w:r>
      <w:r>
        <w:rPr>
          <w:rFonts w:ascii="Times New Roman;serif" w:hAnsi="Times New Roman;serif"/>
          <w:b w:val="false"/>
          <w:sz w:val="20"/>
        </w:rPr>
        <w:t>million aggregate principal amount of the Notes, in a private placement to qualified institutional buyers pursuant to Rule 144A under the Securities Act, pursuant to an indenture dated May 11, 2023, by and between the Company and U.S. Bank Trust Company, National Association (the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initial conversion price of the Notes is approximately $94.00</w:t>
      </w:r>
      <w:r>
        <w:rPr>
          <w:rFonts w:ascii="Times New Roman" w:hAnsi="Times New Roman"/>
          <w:sz w:val="20"/>
        </w:rPr>
        <w:t xml:space="preserve"> </w:t>
      </w:r>
      <w:r>
        <w:rPr>
          <w:rFonts w:ascii="Times New Roman;serif" w:hAnsi="Times New Roman;serif"/>
          <w:b w:val="false"/>
          <w:sz w:val="20"/>
        </w:rPr>
        <w:t>per share of common stock, which represents a premium of approximately 32.5% over the closing price of the Company’s common stock on May 8, 2023. The Notes will mature on June 1, 2028, unless earlier repurchased, redeemed or converted. The Company used $52.1</w:t>
      </w:r>
      <w:r>
        <w:rPr>
          <w:rFonts w:ascii="Times New Roman" w:hAnsi="Times New Roman"/>
          <w:sz w:val="20"/>
        </w:rPr>
        <w:t xml:space="preserve"> </w:t>
      </w:r>
      <w:r>
        <w:rPr>
          <w:rFonts w:ascii="Times New Roman;serif" w:hAnsi="Times New Roman;serif"/>
          <w:b w:val="false"/>
          <w:sz w:val="20"/>
        </w:rPr>
        <w:t>million of the proceeds from the sale of the Notes to fund the cost of entering into capped call transactions, described below. The proceeds from the issuance of the Notes were approximately $393.3</w:t>
      </w:r>
      <w:r>
        <w:rPr>
          <w:rFonts w:ascii="Times New Roman" w:hAnsi="Times New Roman"/>
          <w:sz w:val="20"/>
        </w:rPr>
        <w:t xml:space="preserve"> </w:t>
      </w:r>
      <w:r>
        <w:rPr>
          <w:rFonts w:ascii="Times New Roman;serif" w:hAnsi="Times New Roman;serif"/>
          <w:b w:val="false"/>
          <w:sz w:val="20"/>
        </w:rPr>
        <w:t>million, net of capped call transaction costs of $52.1</w:t>
      </w:r>
      <w:r>
        <w:rPr>
          <w:rFonts w:ascii="Times New Roman" w:hAnsi="Times New Roman"/>
          <w:sz w:val="20"/>
        </w:rPr>
        <w:t xml:space="preserve"> </w:t>
      </w:r>
      <w:r>
        <w:rPr>
          <w:rFonts w:ascii="Times New Roman;serif" w:hAnsi="Times New Roman;serif"/>
          <w:b w:val="false"/>
          <w:sz w:val="20"/>
        </w:rPr>
        <w:t>million and initial purchaser discounts and other debt issuance costs totaling $14.6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Notes bear interest at a rate of 1.50% per year and interest is payable semiannually</w:t>
      </w:r>
      <w:r>
        <w:rPr>
          <w:rFonts w:ascii="Times New Roman;serif" w:hAnsi="Times New Roman;serif"/>
          <w:sz w:val="20"/>
        </w:rPr>
        <w:t xml:space="preserve"> </w:t>
      </w:r>
      <w:r>
        <w:rPr>
          <w:rFonts w:ascii="Times New Roman;serif" w:hAnsi="Times New Roman;serif"/>
          <w:b w:val="false"/>
          <w:sz w:val="20"/>
        </w:rPr>
        <w:t>in arrears on June 1 and December 1 of each year, beginning on December 1, 2023.</w:t>
      </w:r>
      <w:r>
        <w:rPr>
          <w:rFonts w:ascii="Times New Roman" w:hAnsi="Times New Roman"/>
          <w:sz w:val="20"/>
        </w:rPr>
        <w:t xml:space="preserve"> </w:t>
      </w:r>
      <w:r>
        <w:rPr>
          <w:rFonts w:ascii="Times New Roman;serif" w:hAnsi="Times New Roman;serif"/>
          <w:b w:val="false"/>
          <w:sz w:val="20"/>
        </w:rPr>
        <w:t>The initial conversion rate is 10.6388</w:t>
      </w:r>
      <w:r>
        <w:rPr>
          <w:rFonts w:ascii="Times New Roman" w:hAnsi="Times New Roman"/>
          <w:sz w:val="20"/>
        </w:rPr>
        <w:t xml:space="preserve"> </w:t>
      </w:r>
      <w:r>
        <w:rPr>
          <w:rFonts w:ascii="Times New Roman;serif" w:hAnsi="Times New Roman;serif"/>
          <w:b w:val="false"/>
          <w:sz w:val="20"/>
        </w:rPr>
        <w:t>shares of common stock per $1,000</w:t>
      </w:r>
      <w:r>
        <w:rPr>
          <w:rFonts w:ascii="Times New Roman" w:hAnsi="Times New Roman"/>
          <w:sz w:val="20"/>
        </w:rPr>
        <w:t xml:space="preserve"> </w:t>
      </w:r>
      <w:r>
        <w:rPr>
          <w:rFonts w:ascii="Times New Roman;serif" w:hAnsi="Times New Roman;serif"/>
          <w:b w:val="false"/>
          <w:sz w:val="20"/>
        </w:rPr>
        <w:t>principal amount of the Notes, which represents an initial conversion price of approximately $94.00</w:t>
      </w:r>
      <w:r>
        <w:rPr>
          <w:rFonts w:ascii="Times New Roman" w:hAnsi="Times New Roman"/>
          <w:sz w:val="20"/>
        </w:rPr>
        <w:t xml:space="preserve"> </w:t>
      </w:r>
      <w:r>
        <w:rPr>
          <w:rFonts w:ascii="Times New Roman;serif" w:hAnsi="Times New Roman;serif"/>
          <w:b w:val="false"/>
          <w:sz w:val="20"/>
        </w:rPr>
        <w:t>per share of common stock. The conversion rate and conversion price are subject to customary adjustments upon the occurrence of certain events as described in the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Before March 1, 2028, noteholders have the right to convert their Notes only upon the occurrence of certain events, including certain corporate events, and during the five</w:t>
      </w:r>
      <w:r>
        <w:rPr>
          <w:rFonts w:ascii="Times New Roman" w:hAnsi="Times New Roman"/>
          <w:sz w:val="20"/>
        </w:rPr>
        <w:t xml:space="preserve"> </w:t>
      </w:r>
      <w:r>
        <w:rPr>
          <w:rFonts w:ascii="Times New Roman;serif" w:hAnsi="Times New Roman;serif"/>
          <w:b w:val="false"/>
          <w:sz w:val="20"/>
        </w:rPr>
        <w:t>business days immediately after any ten</w:t>
      </w:r>
      <w:r>
        <w:rPr>
          <w:rFonts w:ascii="Times New Roman" w:hAnsi="Times New Roman"/>
          <w:sz w:val="20"/>
        </w:rPr>
        <w:t xml:space="preserve"> </w:t>
      </w:r>
      <w:r>
        <w:rPr>
          <w:rFonts w:ascii="Times New Roman;serif" w:hAnsi="Times New Roman;serif"/>
          <w:b w:val="false"/>
          <w:sz w:val="20"/>
        </w:rPr>
        <w:t>consecutive trading days in which the trading price per $1,000</w:t>
      </w:r>
      <w:r>
        <w:rPr>
          <w:rFonts w:ascii="Times New Roman" w:hAnsi="Times New Roman"/>
          <w:sz w:val="20"/>
        </w:rPr>
        <w:t xml:space="preserve"> </w:t>
      </w:r>
      <w:r>
        <w:rPr>
          <w:rFonts w:ascii="Times New Roman;serif" w:hAnsi="Times New Roman;serif"/>
          <w:b w:val="false"/>
          <w:sz w:val="20"/>
        </w:rPr>
        <w:t>principal amount of Notes is less than ninety eight percent (98%) of the as converted value. Additionally, the noteholder can convert their Notes during any calendar quarter (and only during such calendar quarter), commencing after the calendar quarter ending on September 30, 2023 but before March 1, 2028, provided the last reported sale price of the common stock for at least 20</w:t>
      </w:r>
      <w:r>
        <w:rPr>
          <w:rFonts w:ascii="Times New Roman" w:hAnsi="Times New Roman"/>
          <w:sz w:val="20"/>
        </w:rPr>
        <w:t xml:space="preserve"> </w:t>
      </w:r>
      <w:r>
        <w:rPr>
          <w:rFonts w:ascii="Times New Roman;serif" w:hAnsi="Times New Roman;serif"/>
          <w:b w:val="false"/>
          <w:sz w:val="20"/>
        </w:rPr>
        <w:t>trading days is greater than or equal to 130% of the conversion price during the 30</w:t>
      </w:r>
      <w:r>
        <w:rPr>
          <w:rFonts w:ascii="Times New Roman" w:hAnsi="Times New Roman"/>
          <w:sz w:val="20"/>
        </w:rPr>
        <w:t xml:space="preserve"> </w:t>
      </w:r>
      <w:r>
        <w:rPr>
          <w:rFonts w:ascii="Times New Roman;serif" w:hAnsi="Times New Roman;serif"/>
          <w:b w:val="false"/>
          <w:sz w:val="20"/>
        </w:rPr>
        <w:t>consecutive trading days ending on the last trading day of a calendar quarter. From and after March 1, 2028, noteholders may convert their Notes at any time at their election until the close of business on the second scheduled trading day immediately before the maturity date. The Company has the right to elect to settle conversions either in cash, shares or in a combination of cash and shares of its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Prior to June 8, 2026, the Notes will not be redeemable. On or after June 8, 2026, the Company may redeem for cash all or any portion of the Notes (subject to the partial redemption limitation set forth in the Indenture), at its option, if the last reported sale price of the Company’s common stock has been at least 130% of the conversion price then in effect for at least 20</w:t>
      </w:r>
      <w:r>
        <w:rPr>
          <w:rFonts w:ascii="Times New Roman" w:hAnsi="Times New Roman"/>
          <w:sz w:val="20"/>
        </w:rPr>
        <w:t xml:space="preserve"> </w:t>
      </w:r>
      <w:r>
        <w:rPr>
          <w:rFonts w:ascii="Times New Roman;serif" w:hAnsi="Times New Roman;serif"/>
          <w:b w:val="false"/>
          <w:sz w:val="20"/>
        </w:rPr>
        <w:t>trading days (whether or not consecutive) during any 30</w:t>
      </w:r>
      <w:r>
        <w:rPr>
          <w:rFonts w:ascii="Times New Roman" w:hAnsi="Times New Roman"/>
          <w:sz w:val="20"/>
        </w:rPr>
        <w:t xml:space="preserve"> </w:t>
      </w:r>
      <w:r>
        <w:rPr>
          <w:rFonts w:ascii="Times New Roman;serif" w:hAnsi="Times New Roman;serif"/>
          <w:b w:val="false"/>
          <w:sz w:val="20"/>
        </w:rPr>
        <w:t>consecutive trading day period (including the last trading day of such period) ending on, and including, the trading day immediately preceding the date on which the Company provides notice of redemption.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the Notes as a single liability in accordance with ASC 470-20 as the Company concluded that embedded conversion features within the Notes do not meet the requirements for bifurcation. Initial purchaser discounts and other debt issuance costs related to the Notes totaling $14.6</w:t>
      </w:r>
      <w:r>
        <w:rPr>
          <w:rFonts w:ascii="Times New Roman" w:hAnsi="Times New Roman"/>
          <w:sz w:val="20"/>
        </w:rPr>
        <w:t xml:space="preserve"> </w:t>
      </w:r>
      <w:r>
        <w:rPr>
          <w:rFonts w:ascii="Times New Roman;serif" w:hAnsi="Times New Roman;serif"/>
          <w:b w:val="false"/>
          <w:sz w:val="20"/>
        </w:rPr>
        <w:t>million were recorded by the Company as a debt discount. The debt discount is reflected as a reduction of the carrying value of the Notes on the Company’s consolidated balance sheet and is being accreted to interest expense over the term of the Notes using the effective interest method. During the three and six months ended June 30, 2023, the Company recognized $1.3</w:t>
      </w:r>
      <w:r>
        <w:rPr>
          <w:rFonts w:ascii="Times New Roman" w:hAnsi="Times New Roman"/>
          <w:sz w:val="20"/>
        </w:rPr>
        <w:t xml:space="preserve"> </w:t>
      </w:r>
      <w:r>
        <w:rPr>
          <w:rFonts w:ascii="Times New Roman;serif" w:hAnsi="Times New Roman;serif"/>
          <w:b w:val="false"/>
          <w:sz w:val="20"/>
        </w:rPr>
        <w:t>million in interest expense related to the 1.50% cash coupon of the Notes and amortization of the debt issuance costs. During the three and six months ended June 30, 2023, the effective interest rate on the outstanding Notes was approximately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Capped Call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offering of the Notes, the Company entered into privately negotiated capped call transactions (the “Capped Calls”) with certain financial institution counterparties (the “Option Counterparties”). The Capped Calls are generally intended to reduce or offset the potential dilution to the common stock upon any conversion of the Notes with such reduction or offset, as the case may be, subject to a cap based on the cap price. For accounting purposes, the Capped Calls are separate transactions, and not part of the terms of the Notes. The Capped Calls are recorded in stockholders’ equity and are not accounted for as derivatives. The cost of $52.1</w:t>
      </w:r>
      <w:r>
        <w:rPr>
          <w:rFonts w:ascii="Times New Roman" w:hAnsi="Times New Roman"/>
          <w:sz w:val="20"/>
        </w:rPr>
        <w:t xml:space="preserve"> </w:t>
      </w:r>
      <w:r>
        <w:rPr>
          <w:rFonts w:ascii="Times New Roman;serif" w:hAnsi="Times New Roman;serif"/>
          <w:b w:val="false"/>
          <w:sz w:val="20"/>
        </w:rPr>
        <w:t>million incurred to purchase the Capped Calls were recorded as a reduction to common stock in the accompanying consolidated balance sheet.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Each of the Capped Calls has an initial strike price of approximately $94.00</w:t>
      </w:r>
      <w:r>
        <w:rPr>
          <w:rFonts w:ascii="Times New Roman" w:hAnsi="Times New Roman"/>
          <w:sz w:val="20"/>
        </w:rPr>
        <w:t xml:space="preserve"> </w:t>
      </w:r>
      <w:r>
        <w:rPr>
          <w:rFonts w:ascii="Times New Roman;serif" w:hAnsi="Times New Roman;serif"/>
          <w:b w:val="false"/>
          <w:sz w:val="20"/>
        </w:rPr>
        <w:t>per share, subject to certain adjustments, which corresponds to the initial conversion price of the Notes. The Capped Calls have an initial cap price of $141.88</w:t>
      </w:r>
      <w:r>
        <w:rPr>
          <w:rFonts w:ascii="Times New Roman" w:hAnsi="Times New Roman"/>
          <w:sz w:val="20"/>
        </w:rPr>
        <w:t xml:space="preserve"> </w:t>
      </w:r>
      <w:r>
        <w:rPr>
          <w:rFonts w:ascii="Times New Roman;serif" w:hAnsi="Times New Roman;serif"/>
          <w:b w:val="false"/>
          <w:sz w:val="20"/>
        </w:rPr>
        <w:t>per share, subject to certain adjustments. The Capped Calls cover, subject to anti-dilution adjustments, approximately 4,893,848</w:t>
      </w:r>
      <w:r>
        <w:rPr>
          <w:rFonts w:ascii="Times New Roman" w:hAnsi="Times New Roman"/>
          <w:sz w:val="20"/>
        </w:rPr>
        <w:t xml:space="preserve"> </w:t>
      </w:r>
      <w:r>
        <w:rPr>
          <w:rFonts w:ascii="Times New Roman;serif" w:hAnsi="Times New Roman;serif"/>
          <w:b w:val="false"/>
          <w:sz w:val="20"/>
        </w:rPr>
        <w:t>million shares of the Company’s common stock, which is the same number of shares of the Company’s common stock initially underlying the Notes. The Capped Calls are subject to automatic exercise over a 40</w:t>
      </w:r>
      <w:r>
        <w:rPr>
          <w:rFonts w:ascii="Times New Roman" w:hAnsi="Times New Roman"/>
          <w:sz w:val="20"/>
        </w:rPr>
        <w:t xml:space="preserve"> </w:t>
      </w:r>
      <w:r>
        <w:rPr>
          <w:rFonts w:ascii="Times New Roman;serif" w:hAnsi="Times New Roman;serif"/>
          <w:b w:val="false"/>
          <w:sz w:val="20"/>
        </w:rPr>
        <w:t>trading day period commencing on April 3, 2028, subject to earlier termination under certain circumstances.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Long-term debt</w:t>
      </w:r>
    </w:p>
    <w:p>
      <w:pPr>
        <w:pStyle w:val="TextBody"/>
        <w:bidi w:val="0"/>
        <w:spacing w:before="120" w:after="0"/>
        <w:jc w:val="left"/>
        <w:rPr>
          <w:rFonts w:ascii="Times New Roman" w:hAnsi="Times New Roman"/>
          <w:sz w:val="20"/>
        </w:rPr>
      </w:pPr>
      <w:r>
        <w:rPr>
          <w:rFonts w:ascii="Times New Roman;serif" w:hAnsi="Times New Roman;serif"/>
          <w:b w:val="false"/>
          <w:sz w:val="20"/>
        </w:rPr>
        <w:t>Long-term debt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7965" w:type="dxa"/>
        <w:jc w:val="left"/>
        <w:tblInd w:w="0" w:type="dxa"/>
        <w:tblLayout w:type="fixed"/>
        <w:tblCellMar>
          <w:top w:w="28" w:type="dxa"/>
          <w:left w:w="28" w:type="dxa"/>
          <w:bottom w:w="28" w:type="dxa"/>
          <w:right w:w="28" w:type="dxa"/>
        </w:tblCellMar>
      </w:tblPr>
      <w:tblGrid>
        <w:gridCol w:w="4391"/>
        <w:gridCol w:w="146"/>
        <w:gridCol w:w="267"/>
        <w:gridCol w:w="858"/>
        <w:gridCol w:w="166"/>
        <w:gridCol w:w="146"/>
        <w:gridCol w:w="357"/>
        <w:gridCol w:w="1143"/>
        <w:gridCol w:w="491"/>
      </w:tblGrid>
      <w:tr>
        <w:trPr/>
        <w:tc>
          <w:tcPr>
            <w:tcW w:w="4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43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Principal amount of long-term debt</w:t>
            </w:r>
          </w:p>
        </w:tc>
        <w:tc>
          <w:tcPr>
            <w:tcW w:w="146"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60,000</w:t>
            </w:r>
          </w:p>
        </w:tc>
        <w:tc>
          <w:tcPr>
            <w:tcW w:w="491" w:type="dxa"/>
            <w:tcBorders/>
            <w:vAlign w:val="center"/>
          </w:tcPr>
          <w:p>
            <w:pPr>
              <w:pStyle w:val="TableContents"/>
              <w:bidi w:val="0"/>
              <w:spacing w:before="0" w:after="0"/>
              <w:ind w:left="0" w:right="0" w:firstLine="300"/>
              <w:jc w:val="left"/>
              <w:rPr/>
            </w:pPr>
            <w:r>
              <w:rPr/>
              <w:t> </w:t>
            </w:r>
          </w:p>
        </w:tc>
      </w:tr>
      <w:tr>
        <w:trPr/>
        <w:tc>
          <w:tcPr>
            <w:tcW w:w="43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Less: Current portion of long-term debt</w:t>
            </w:r>
          </w:p>
        </w:tc>
        <w:tc>
          <w:tcPr>
            <w:tcW w:w="146" w:type="dxa"/>
            <w:tcBorders/>
            <w:vAlign w:val="center"/>
          </w:tcPr>
          <w:p>
            <w:pPr>
              <w:pStyle w:val="TableContents"/>
              <w:bidi w:val="0"/>
              <w:spacing w:before="0" w:after="0"/>
              <w:ind w:left="20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3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Long-term debt, net of current portion</w:t>
            </w:r>
          </w:p>
        </w:tc>
        <w:tc>
          <w:tcPr>
            <w:tcW w:w="146" w:type="dxa"/>
            <w:tcBorders/>
            <w:vAlign w:val="center"/>
          </w:tcPr>
          <w:p>
            <w:pPr>
              <w:pStyle w:val="TableContents"/>
              <w:bidi w:val="0"/>
              <w:spacing w:before="0" w:after="0"/>
              <w:ind w:left="20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60,000</w:t>
            </w:r>
          </w:p>
        </w:tc>
        <w:tc>
          <w:tcPr>
            <w:tcW w:w="491" w:type="dxa"/>
            <w:tcBorders/>
            <w:vAlign w:val="center"/>
          </w:tcPr>
          <w:p>
            <w:pPr>
              <w:pStyle w:val="TableContents"/>
              <w:bidi w:val="0"/>
              <w:spacing w:before="0" w:after="0"/>
              <w:ind w:left="0" w:right="0" w:firstLine="300"/>
              <w:jc w:val="left"/>
              <w:rPr/>
            </w:pPr>
            <w:r>
              <w:rPr/>
              <w:t> </w:t>
            </w:r>
          </w:p>
        </w:tc>
      </w:tr>
      <w:tr>
        <w:trPr/>
        <w:tc>
          <w:tcPr>
            <w:tcW w:w="43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Debt discount, net of accretion</w:t>
            </w:r>
          </w:p>
        </w:tc>
        <w:tc>
          <w:tcPr>
            <w:tcW w:w="146" w:type="dxa"/>
            <w:tcBorders/>
            <w:vAlign w:val="center"/>
          </w:tcPr>
          <w:p>
            <w:pPr>
              <w:pStyle w:val="TableContents"/>
              <w:bidi w:val="0"/>
              <w:spacing w:before="0" w:after="0"/>
              <w:ind w:left="10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(1,304</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3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Long-term debt, net of discount and current portion</w:t>
            </w:r>
          </w:p>
        </w:tc>
        <w:tc>
          <w:tcPr>
            <w:tcW w:w="146" w:type="dxa"/>
            <w:tcBorders/>
            <w:vAlign w:val="center"/>
          </w:tcPr>
          <w:p>
            <w:pPr>
              <w:pStyle w:val="TableContents"/>
              <w:bidi w:val="0"/>
              <w:spacing w:before="0" w:after="0"/>
              <w:ind w:left="10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58,696</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 July 2022, the Company entered into a credit agreement with Canadian Imperial Bank of Commerce (“CIBC”), as amended by the First Amendment to Credit Agreement, dated as of May 8, 2023, by and among the Company and CIBC (the “First Amendment”) and the Second Amendment to Credit Agreement, dated as of June 23, 2023, by and among the Company, and CIBC (the “Second Amendment”) (as amended, the “CIBC Credit Agreement”), pursuant to which the Company borrowed $60.0</w:t>
      </w:r>
      <w:r>
        <w:rPr>
          <w:rFonts w:ascii="Times New Roman" w:hAnsi="Times New Roman"/>
          <w:sz w:val="20"/>
        </w:rPr>
        <w:t xml:space="preserve"> </w:t>
      </w:r>
      <w:r>
        <w:rPr>
          <w:rFonts w:ascii="Times New Roman;serif" w:hAnsi="Times New Roman;serif"/>
          <w:b w:val="false"/>
          <w:sz w:val="20"/>
        </w:rPr>
        <w:t>million. In connection with the CIBC Credit Agreement, the Company repaid all amounts due under its previously outstanding credit agreement with OrbiMed Royalty Opportunities II, LP, including $35.0</w:t>
      </w:r>
      <w:r>
        <w:rPr>
          <w:rFonts w:ascii="Times New Roman" w:hAnsi="Times New Roman"/>
          <w:sz w:val="20"/>
        </w:rPr>
        <w:t xml:space="preserve"> </w:t>
      </w:r>
      <w:r>
        <w:rPr>
          <w:rFonts w:ascii="Times New Roman;serif" w:hAnsi="Times New Roman;serif"/>
          <w:b w:val="false"/>
          <w:sz w:val="20"/>
        </w:rPr>
        <w:t>million of principal repayments and a $1.1</w:t>
      </w:r>
      <w:r>
        <w:rPr>
          <w:rFonts w:ascii="Times New Roman" w:hAnsi="Times New Roman"/>
          <w:sz w:val="20"/>
        </w:rPr>
        <w:t xml:space="preserve"> </w:t>
      </w:r>
      <w:r>
        <w:rPr>
          <w:rFonts w:ascii="Times New Roman;serif" w:hAnsi="Times New Roman;serif"/>
          <w:b w:val="false"/>
          <w:sz w:val="20"/>
        </w:rPr>
        <w:t>million end of term payment, as well as accrued interest and the OrbiMed Credit Agreement was terminated. Upon repayment of the outstanding amounts, the Company recorded a loss on extinguishment of debt of $0.6</w:t>
      </w:r>
      <w:r>
        <w:rPr>
          <w:rFonts w:ascii="Times New Roman" w:hAnsi="Times New Roman"/>
          <w:sz w:val="20"/>
        </w:rPr>
        <w:t xml:space="preserve"> </w:t>
      </w:r>
      <w:r>
        <w:rPr>
          <w:rFonts w:ascii="Times New Roman;serif" w:hAnsi="Times New Roman;serif"/>
          <w:b w:val="false"/>
          <w:sz w:val="20"/>
        </w:rPr>
        <w:t>million, which was classified as other expense in the consolidated statements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On May 8, 2023, the Company entered into the First Amendment, which among other items, allowed for the issuance of the Notes and Capped Calls. On June 23, 2023, the Company entered into the Second Amendment, which among other items, permits the Company to make acquisitions of equity or assets of another entity, subject to the conditions under the Second Amendment, including acquisitions, without further consent of CIBC, up to a maximum amount of $50.0</w:t>
      </w:r>
      <w:r>
        <w:rPr>
          <w:rFonts w:ascii="Times New Roman" w:hAnsi="Times New Roman"/>
          <w:sz w:val="20"/>
        </w:rPr>
        <w:t xml:space="preserve"> </w:t>
      </w:r>
      <w:r>
        <w:rPr>
          <w:rFonts w:ascii="Times New Roman;serif" w:hAnsi="Times New Roman;serif"/>
          <w:b w:val="false"/>
          <w:sz w:val="20"/>
        </w:rPr>
        <w:t>million for the cash consideration payable in connection with an individual acquisition and a maximum amount of $150.0</w:t>
      </w:r>
      <w:r>
        <w:rPr>
          <w:rFonts w:ascii="Times New Roman" w:hAnsi="Times New Roman"/>
          <w:sz w:val="20"/>
        </w:rPr>
        <w:t xml:space="preserve"> </w:t>
      </w:r>
      <w:r>
        <w:rPr>
          <w:rFonts w:ascii="Times New Roman;serif" w:hAnsi="Times New Roman;serif"/>
          <w:b w:val="false"/>
          <w:sz w:val="20"/>
        </w:rPr>
        <w:t>million for the total cash consideration payable for all acquisitions made by the Company on or after June 23, 2023. The definition of consolidated adjusted EBITDA was also amended to add a provision for the pro forma effect of any acquisitions that occur during the period. Additionally, pursuant to the Second Amendment, the parties agreed to extend the start of the principal repayment period to July 31, 2026, on which date the Company is obligated to begin repayment of the term loans in equal monthly installments until the maturity date in July 2027.</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Borrowings under the CIBC Credit Agreement bear interest at an annual rate equal to either, at the Company’s option, (i) the secured overnight financing rate for an interest period selected by the Company, subject to a minimum of 1.50%, plus 2.0% or (ii) 1.0% plus the higher of a) the prime rate subject to a minimum of 4.0% or b) the Federal Funds Effective Rate, plus 0.5%. At the Company’s option, the Company may prepay borrowings outstanding under the CIBC Credit Agreement, subject to a prepayment fee of 2.0% of outstanding borrowings if paid prior to 12 months after the closing date, and 1.0% if paid on or after 12 months after the closing date but prior to 24 months after the closing date.</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entering into the CIBC Credit Agreement, the Company paid upfront fees and other costs of $1.5</w:t>
      </w:r>
      <w:r>
        <w:rPr>
          <w:rFonts w:ascii="Times New Roman" w:hAnsi="Times New Roman"/>
          <w:sz w:val="20"/>
        </w:rPr>
        <w:t xml:space="preserve"> </w:t>
      </w:r>
      <w:r>
        <w:rPr>
          <w:rFonts w:ascii="Times New Roman;serif" w:hAnsi="Times New Roman;serif"/>
          <w:b w:val="false"/>
          <w:sz w:val="20"/>
        </w:rPr>
        <w:t>million, which were recorded by the Company as a debt discount. The debt discount is reflected as a reduction of the carrying value of long-term debt on the Company’s consolidated balance sheet and is being accreted to interest expense over the term of the CIBC Credit Agreement using the effective interest method.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All obligations under the CIBC Credit Agreement are guaranteed by the Company and each of its material subsidiaries. All obligations of the Company and each guarantor are secured by substantially all of the Company’s and each guarantor’s assets, including their intellectual property, subject to certain exceptions. Under the CIBC Credit Agreement, the Company has agreed to</w:t>
      </w:r>
      <w:r>
        <w:rPr>
          <w:rFonts w:ascii="Times New Roman" w:hAnsi="Times New Roman"/>
          <w:sz w:val="20"/>
        </w:rPr>
        <w:t xml:space="preserve"> </w:t>
      </w:r>
      <w:r>
        <w:rPr>
          <w:rFonts w:ascii="Times New Roman;serif" w:hAnsi="Times New Roman;serif"/>
          <w:b w:val="false"/>
          <w:sz w:val="20"/>
        </w:rPr>
        <w:t>customary representations and warranties, events of default and certain affirmative and negative covenants to which it will remain subject until maturity. The financial covenants include, among other covenants, (x) a requirement to maintain a minimum liquidity amount of the greater of either (i) the consolidated adjusted EBITDA loss (or gain) for the trailing four month period (only if EBITDA is negative) and (ii) $10.0</w:t>
      </w:r>
      <w:r>
        <w:rPr>
          <w:rFonts w:ascii="Times New Roman;serif" w:hAnsi="Times New Roman;serif"/>
          <w:sz w:val="20"/>
        </w:rPr>
        <w:t xml:space="preserve"> </w:t>
      </w:r>
      <w:r>
        <w:rPr>
          <w:rFonts w:ascii="Times New Roman;serif" w:hAnsi="Times New Roman;serif"/>
          <w:b w:val="false"/>
          <w:sz w:val="20"/>
        </w:rPr>
        <w:t>million, and (y) a requirement to maintain total net revenue of at least 75% of the level set forth in the total revenue plan presented to CIBC.</w:t>
      </w:r>
      <w:r>
        <w:rPr>
          <w:rFonts w:ascii="Times New Roman" w:hAnsi="Times New Roman"/>
          <w:sz w:val="20"/>
        </w:rPr>
        <w:t xml:space="preserve"> </w:t>
      </w:r>
      <w:r>
        <w:rPr>
          <w:rFonts w:ascii="Times New Roman;serif" w:hAnsi="Times New Roman;serif"/>
          <w:b w:val="false"/>
          <w:sz w:val="20"/>
        </w:rPr>
        <w:t>As discussed above, the definition of consolidated adjusted EBITDA was amended to include the pro forma effect of acquisitions. The obligations under the CIBC Credit Agreement are subject to acceleration upon the occurrence of specified events of default, including payment default, change in control, bankruptcy, insolvency, certain defaults under other material debt, certain events with respect to governmental approvals (if such events could cause a material adverse change in the Company’s business), failure to comply with certain covenants and a material adverse change in the Company’s business, operations or financial condition. As of June 30, 2023, the Company was in compliance with all financial covenants of the CIBC Credit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continuance of an event of default, the interest rate per annum will be equal to the rate that would have otherwise been applicable at the time of the event of default plus 2.0%. If an event of default (other than certain events of bankruptcy or insolvency) occurs and is continuing, CIBC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In addition, the Company may be required to prepay outstanding borrowings, subject to certain exceptions, with portions of net cash proceeds of certain asset sales and certain casualty and condemnation events.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assessed all terms and features of the CIBC Credit Agreement in order to identify any potential embedded features that would require bifurcation. As part of this analysis, the Company assessed the economic characteristics and risks of the debt. The Company determined that all features of the CIBC Credit Agreement are either clearly and closely associated with a debt host or have a </w:t>
      </w:r>
      <w:r>
        <w:rPr>
          <w:rFonts w:ascii="Times New Roman;serif" w:hAnsi="Times New Roman;serif"/>
          <w:b w:val="false"/>
          <w:i/>
          <w:sz w:val="20"/>
        </w:rPr>
        <w:t>de minimis</w:t>
      </w:r>
      <w:r>
        <w:rPr>
          <w:rFonts w:ascii="Times New Roman" w:hAnsi="Times New Roman"/>
          <w:sz w:val="20"/>
        </w:rPr>
        <w:t xml:space="preserve"> </w:t>
      </w:r>
      <w:r>
        <w:rPr>
          <w:rFonts w:ascii="Times New Roman;serif" w:hAnsi="Times New Roman;serif"/>
          <w:b w:val="false"/>
          <w:sz w:val="20"/>
        </w:rPr>
        <w:t>fair value and, as such, do not require separate accounting as a derivative liability.</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interest rate applicable to borrowings under the CIBC Credit Agreement was 7.2%. During the three and six months ended June 30, 2023, the weighted average effective interest rate on outstanding borrowings under the CIBC Credit Agreement was approximately 7.7%</w:t>
      </w:r>
      <w:r>
        <w:rPr>
          <w:rFonts w:ascii="Times New Roman" w:hAnsi="Times New Roman"/>
          <w:sz w:val="20"/>
        </w:rPr>
        <w:t xml:space="preserve"> </w:t>
      </w:r>
      <w:r>
        <w:rPr>
          <w:rFonts w:ascii="Times New Roman;serif" w:hAnsi="Times New Roman;serif"/>
          <w:b w:val="false"/>
          <w:sz w:val="20"/>
        </w:rPr>
        <w:t>and 7.5%, respectively.</w:t>
      </w:r>
    </w:p>
    <w:p>
      <w:pPr>
        <w:pStyle w:val="TextBody"/>
        <w:bidi w:val="0"/>
        <w:spacing w:before="240" w:after="0"/>
        <w:jc w:val="left"/>
        <w:rPr>
          <w:rFonts w:ascii="Times New Roman" w:hAnsi="Times New Roman"/>
          <w:sz w:val="20"/>
        </w:rPr>
      </w:pPr>
      <w:r>
        <w:rPr>
          <w:rFonts w:ascii="Times New Roman;serif" w:hAnsi="Times New Roman;serif"/>
          <w:b/>
          <w:sz w:val="20"/>
        </w:rPr>
        <w:t>7. Stock-Based Compensation</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2019 Stock Incentive Plan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2019 Stock Incentive Plan (the “2019 Plan”) provides for the grant of incentive stock options, nonqualified stock options, stock appreciation rights, restricted stock, restricted stock units, unrestricted stock, unrestricted stock units, and other stock-based awards to employees, directors, and consultants of the Company and its subsidiaries. The number of shares of common stock of TransMedics Group initially available for issuance under the 2019 Plan was 3,428,571</w:t>
      </w:r>
      <w:r>
        <w:rPr>
          <w:rFonts w:ascii="Times New Roman" w:hAnsi="Times New Roman"/>
          <w:sz w:val="20"/>
        </w:rPr>
        <w:t xml:space="preserve"> </w:t>
      </w:r>
      <w:r>
        <w:rPr>
          <w:rFonts w:ascii="Times New Roman;serif" w:hAnsi="Times New Roman;serif"/>
          <w:b w:val="false"/>
          <w:sz w:val="20"/>
        </w:rPr>
        <w:t>shares, plus the number of shares underlying awards under the previously outstanding 2014 Stock Incentive Plan (the “2014 Plan”), not to exceed 1,595,189</w:t>
      </w:r>
      <w:r>
        <w:rPr>
          <w:rFonts w:ascii="Times New Roman" w:hAnsi="Times New Roman"/>
          <w:sz w:val="20"/>
        </w:rPr>
        <w:t xml:space="preserve"> </w:t>
      </w:r>
      <w:r>
        <w:rPr>
          <w:rFonts w:ascii="Times New Roman;serif" w:hAnsi="Times New Roman;serif"/>
          <w:b w:val="false"/>
          <w:sz w:val="20"/>
        </w:rPr>
        <w:t>shares, that expire or are terminated, surrendered, or canceled without the delivery of shares, are forfeited to or repurchased by TransMedics Group or otherwise become available again for grant. Since the effectiveness of the Company’s 2019 Plan in April 2019, no awards have been or will be made under the 2014 Plan.</w:t>
      </w:r>
    </w:p>
    <w:p>
      <w:pPr>
        <w:pStyle w:val="TextBody"/>
        <w:bidi w:val="0"/>
        <w:spacing w:before="120" w:after="0"/>
        <w:jc w:val="left"/>
        <w:rPr>
          <w:rFonts w:ascii="Times New Roman" w:hAnsi="Times New Roman"/>
          <w:sz w:val="20"/>
        </w:rPr>
      </w:pPr>
      <w:r>
        <w:rPr>
          <w:rFonts w:ascii="Times New Roman;serif" w:hAnsi="Times New Roman;serif"/>
          <w:b w:val="false"/>
          <w:sz w:val="20"/>
        </w:rPr>
        <w:t>Shares withheld in payment of the exercise or purchase price of an award or in satisfaction of tax withholding requirements, and the shares covered by a stock appreciation right for which any portion is settled in stock, will reduce the number of shares available for issuance under the 2019 Plan. In addition, the number of shares available for issuance under the 2019 Plan (i) will not be increased by any shares delivered under the 2019 Plan that are subsequently repurchased using proceeds directly attributable to stock option exercises and (ii) will not be reduced by any awards that are settled in cash or that expire, become unexercisable, terminate or are forfeited to or repurchased by TransMedics Group without the issuance of stock under the 2019 Plan. On May 25, 2023, the shareholders of the Company approved the Amended and Restated TransMedics Group, Inc. 2019 Stock Incentive Plan (the “Amended Plan”) to among other things, (i) increase the number of shares of the Company’s common stock available for issuance thereunder by 1,000,000</w:t>
      </w:r>
      <w:r>
        <w:rPr>
          <w:rFonts w:ascii="Times New Roman" w:hAnsi="Times New Roman"/>
          <w:sz w:val="20"/>
        </w:rPr>
        <w:t xml:space="preserve"> </w:t>
      </w:r>
      <w:r>
        <w:rPr>
          <w:rFonts w:ascii="Times New Roman;serif" w:hAnsi="Times New Roman;serif"/>
          <w:b w:val="false"/>
          <w:sz w:val="20"/>
        </w:rPr>
        <w:t>shares, (ii) prohibit the payment of dividend or dividend equivalents on a current basis with respect to unvested awards, (iii) extend the expiration date of the Amended Plan until June 1, 2033 and (iv) increase the annual limits on non-employee director compensation. As of June 30, 2023, 1,376,397</w:t>
      </w:r>
      <w:r>
        <w:rPr>
          <w:rFonts w:ascii="Times New Roman" w:hAnsi="Times New Roman"/>
          <w:sz w:val="20"/>
        </w:rPr>
        <w:t xml:space="preserve"> </w:t>
      </w:r>
      <w:r>
        <w:rPr>
          <w:rFonts w:ascii="Times New Roman;serif" w:hAnsi="Times New Roman;serif"/>
          <w:b w:val="false"/>
          <w:sz w:val="20"/>
        </w:rPr>
        <w:t>shares of common stock were available for issuance under the Amended Plan.</w:t>
      </w:r>
    </w:p>
    <w:p>
      <w:pPr>
        <w:pStyle w:val="TextBody"/>
        <w:bidi w:val="0"/>
        <w:spacing w:before="240" w:after="0"/>
        <w:jc w:val="left"/>
        <w:rPr>
          <w:rFonts w:ascii="Times New Roman" w:hAnsi="Times New Roman"/>
          <w:sz w:val="20"/>
        </w:rPr>
      </w:pPr>
      <w:r>
        <w:rPr>
          <w:rFonts w:ascii="Times New Roman;serif" w:hAnsi="Times New Roman;serif"/>
          <w:b/>
          <w:i/>
          <w:sz w:val="20"/>
        </w:rPr>
        <w:t>2019 Employee Stock Purchase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Company’s 2019 Employee Stock Purchase Plan (the “2019 ESPP”), certain employees of the Company are eligible to purchase common stock of the Company at a reduced price during offering periods. The 2019 ESPP permits participants to purchase common stock using funds contributed through payroll deductions, subject to the limitations set forth in the Internal Revenue Code, at a purchase price of 85% of the lower of the closing price of the Company’s common stock on the first trading day of the offering period or the closing price on the applicable purchase date, which is the final trading day of the applicable offering period. A total of 371,142</w:t>
      </w:r>
      <w:r>
        <w:rPr>
          <w:rFonts w:ascii="Times New Roman" w:hAnsi="Times New Roman"/>
          <w:sz w:val="20"/>
        </w:rPr>
        <w:t xml:space="preserve"> </w:t>
      </w:r>
      <w:r>
        <w:rPr>
          <w:rFonts w:ascii="Times New Roman;serif" w:hAnsi="Times New Roman;serif"/>
          <w:b w:val="false"/>
          <w:sz w:val="20"/>
        </w:rPr>
        <w:t>shares of the Company’s common stock were initially reserved for issuance under the 2019 ESPP. During the six months ended June 30, 2023, 14,135</w:t>
      </w:r>
      <w:r>
        <w:rPr>
          <w:rFonts w:ascii="Times New Roman" w:hAnsi="Times New Roman"/>
          <w:sz w:val="20"/>
        </w:rPr>
        <w:t xml:space="preserve"> </w:t>
      </w:r>
      <w:r>
        <w:rPr>
          <w:rFonts w:ascii="Times New Roman;serif" w:hAnsi="Times New Roman;serif"/>
          <w:b w:val="false"/>
          <w:sz w:val="20"/>
        </w:rPr>
        <w:t>shares of common stock were issued under the 2019 ESPP and as of June 30, 2023, 276,318</w:t>
      </w:r>
      <w:r>
        <w:rPr>
          <w:rFonts w:ascii="Times New Roman" w:hAnsi="Times New Roman"/>
          <w:sz w:val="20"/>
        </w:rPr>
        <w:t xml:space="preserve"> </w:t>
      </w:r>
      <w:r>
        <w:rPr>
          <w:rFonts w:ascii="Times New Roman;serif" w:hAnsi="Times New Roman;serif"/>
          <w:b w:val="false"/>
          <w:sz w:val="20"/>
        </w:rPr>
        <w:t>shares of common stock remained available for issuance.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2021 Inducement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2021, the Company’s board of directors approved the TransMedics Group, Inc. Inducement Plan (the “Inducement Plan”). Pursuant to the terms of the Inducement Plan, the Company may grant nonqualified stock options, stock appreciation rights, restricted stock, unrestricted stock, restricted stock unit awards and performance awards to individuals who were not previously employees or directors of the Company or individuals returning to employment after a bona fide period of non-employment with the Company. A total of 1,000,000</w:t>
      </w:r>
      <w:r>
        <w:rPr>
          <w:rFonts w:ascii="Times New Roman" w:hAnsi="Times New Roman"/>
          <w:sz w:val="20"/>
        </w:rPr>
        <w:t xml:space="preserve"> </w:t>
      </w:r>
      <w:r>
        <w:rPr>
          <w:rFonts w:ascii="Times New Roman;serif" w:hAnsi="Times New Roman;serif"/>
          <w:b w:val="false"/>
          <w:sz w:val="20"/>
        </w:rPr>
        <w:t>shares of the Company’s common stock were initially available for issuance under the Inducement Plan. As of June 30, 2023, 340,347</w:t>
      </w:r>
      <w:r>
        <w:rPr>
          <w:rFonts w:ascii="Times New Roman" w:hAnsi="Times New Roman"/>
          <w:sz w:val="20"/>
        </w:rPr>
        <w:t xml:space="preserve"> </w:t>
      </w:r>
      <w:r>
        <w:rPr>
          <w:rFonts w:ascii="Times New Roman;serif" w:hAnsi="Times New Roman;serif"/>
          <w:b w:val="false"/>
          <w:sz w:val="20"/>
        </w:rPr>
        <w:t>shares of common stock remained available for issuance under the Inducement Plan.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Stock Option Activity</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the Company granted options under the 2019 Plan and the Inducement Plan with service-based vesting for the purchase of an aggregate of 427,635</w:t>
      </w:r>
      <w:r>
        <w:rPr>
          <w:rFonts w:ascii="Times New Roman" w:hAnsi="Times New Roman"/>
          <w:sz w:val="20"/>
        </w:rPr>
        <w:t xml:space="preserve"> </w:t>
      </w:r>
      <w:r>
        <w:rPr>
          <w:rFonts w:ascii="Times New Roman;serif" w:hAnsi="Times New Roman;serif"/>
          <w:b w:val="false"/>
          <w:sz w:val="20"/>
        </w:rPr>
        <w:t>shares of common stock with a weighted average grant-date fair value of $43.86</w:t>
      </w:r>
      <w:r>
        <w:rPr>
          <w:rFonts w:ascii="Times New Roman" w:hAnsi="Times New Roman"/>
          <w:sz w:val="20"/>
        </w:rPr>
        <w:t xml:space="preserve"> </w:t>
      </w:r>
      <w:r>
        <w:rPr>
          <w:rFonts w:ascii="Times New Roman;serif" w:hAnsi="Times New Roman;serif"/>
          <w:b w:val="false"/>
          <w:sz w:val="20"/>
        </w:rPr>
        <w:t>per share.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Restricted Stock Unit Activity</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the Company granted 221,827</w:t>
      </w:r>
      <w:r>
        <w:rPr>
          <w:rFonts w:ascii="Times New Roman" w:hAnsi="Times New Roman"/>
          <w:sz w:val="20"/>
        </w:rPr>
        <w:t xml:space="preserve"> </w:t>
      </w:r>
      <w:r>
        <w:rPr>
          <w:rFonts w:ascii="Times New Roman;serif" w:hAnsi="Times New Roman;serif"/>
          <w:b w:val="false"/>
          <w:sz w:val="20"/>
        </w:rPr>
        <w:t>restricted stock units under the 2019 Plan and the Inducement Plan with service-based vesting conditions and a weighted-average grant-date fair value of $67.05</w:t>
      </w:r>
      <w:r>
        <w:rPr>
          <w:rFonts w:ascii="Times New Roman" w:hAnsi="Times New Roman"/>
          <w:sz w:val="20"/>
        </w:rPr>
        <w:t xml:space="preserve"> </w:t>
      </w:r>
      <w:r>
        <w:rPr>
          <w:rFonts w:ascii="Times New Roman;serif" w:hAnsi="Times New Roman;serif"/>
          <w:b w:val="false"/>
          <w:sz w:val="20"/>
        </w:rPr>
        <w:t>per share.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recorded stock-based compensation expense in the following expense categories of its consolidated statements of operations (in thousands):</w:t>
      </w:r>
      <w:r>
        <w:rPr>
          <w:rFonts w:ascii="Times New Roman" w:hAnsi="Times New Roman"/>
          <w:sz w:val="20"/>
        </w:rPr>
        <w:t xml:space="preserve"> </w:t>
      </w:r>
    </w:p>
    <w:p>
      <w:pPr>
        <w:pStyle w:val="TextBody"/>
        <w:bidi w:val="0"/>
        <w:spacing w:before="0" w:after="0"/>
        <w:jc w:val="left"/>
        <w:rPr/>
      </w:pPr>
      <w:r>
        <w:rPr/>
        <w:t> </w:t>
      </w:r>
    </w:p>
    <w:tbl>
      <w:tblPr>
        <w:tblW w:w="9307" w:type="dxa"/>
        <w:jc w:val="left"/>
        <w:tblInd w:w="0" w:type="dxa"/>
        <w:tblLayout w:type="fixed"/>
        <w:tblCellMar>
          <w:top w:w="28" w:type="dxa"/>
          <w:left w:w="28" w:type="dxa"/>
          <w:bottom w:w="28" w:type="dxa"/>
          <w:right w:w="28" w:type="dxa"/>
        </w:tblCellMar>
      </w:tblPr>
      <w:tblGrid>
        <w:gridCol w:w="4246"/>
        <w:gridCol w:w="146"/>
        <w:gridCol w:w="257"/>
        <w:gridCol w:w="697"/>
        <w:gridCol w:w="178"/>
        <w:gridCol w:w="178"/>
        <w:gridCol w:w="257"/>
        <w:gridCol w:w="697"/>
        <w:gridCol w:w="146"/>
        <w:gridCol w:w="146"/>
        <w:gridCol w:w="235"/>
        <w:gridCol w:w="637"/>
        <w:gridCol w:w="162"/>
        <w:gridCol w:w="162"/>
        <w:gridCol w:w="235"/>
        <w:gridCol w:w="637"/>
        <w:gridCol w:w="2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development and clinical trials expenses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2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4,164</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7,518</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3,885</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2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4,958</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8,879</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4,626</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total unrecognized compensation cost related to unvested share-based awards was $47.3</w:t>
      </w:r>
      <w:r>
        <w:rPr>
          <w:rFonts w:ascii="Times New Roman" w:hAnsi="Times New Roman"/>
          <w:sz w:val="20"/>
        </w:rPr>
        <w:t xml:space="preserve"> </w:t>
      </w:r>
      <w:r>
        <w:rPr>
          <w:rFonts w:ascii="Times New Roman;serif" w:hAnsi="Times New Roman;serif"/>
          <w:b w:val="false"/>
          <w:sz w:val="20"/>
        </w:rPr>
        <w:t>million, which is expected to be recognized over a weighted average period of 2.6</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8.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leases office, laboratory and manufacturing space under two non-cancelable</w:t>
      </w:r>
      <w:r>
        <w:rPr>
          <w:rFonts w:ascii="Times New Roman" w:hAnsi="Times New Roman"/>
          <w:sz w:val="20"/>
        </w:rPr>
        <w:t xml:space="preserve"> </w:t>
      </w:r>
      <w:r>
        <w:rPr>
          <w:rFonts w:ascii="Times New Roman;serif" w:hAnsi="Times New Roman;serif"/>
          <w:b w:val="false"/>
          <w:sz w:val="20"/>
        </w:rPr>
        <w:t>operating leases. In June 2023, the Company amended one of its lease agreements to add space, resulting in additional lease payments of approximately $2.6</w:t>
      </w:r>
      <w:r>
        <w:rPr>
          <w:rFonts w:ascii="Times New Roman" w:hAnsi="Times New Roman"/>
          <w:sz w:val="20"/>
        </w:rPr>
        <w:t xml:space="preserve"> </w:t>
      </w:r>
      <w:r>
        <w:rPr>
          <w:rFonts w:ascii="Times New Roman;serif" w:hAnsi="Times New Roman;serif"/>
          <w:b w:val="false"/>
          <w:sz w:val="20"/>
        </w:rPr>
        <w:t>million over the remaining term of the 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There have been no other material changes to the Company’s leases during the six months ended June 30, 2023. For additional information, please read Note 12 </w:t>
      </w:r>
      <w:r>
        <w:rPr>
          <w:rFonts w:ascii="Times New Roman;serif" w:hAnsi="Times New Roman;serif"/>
          <w:b w:val="false"/>
          <w:i/>
          <w:sz w:val="20"/>
        </w:rPr>
        <w:t>Leases,</w:t>
      </w:r>
      <w:r>
        <w:rPr>
          <w:rFonts w:ascii="Times New Roman" w:hAnsi="Times New Roman"/>
          <w:sz w:val="20"/>
        </w:rPr>
        <w:t xml:space="preserve"> </w:t>
      </w:r>
      <w:r>
        <w:rPr>
          <w:rFonts w:ascii="Times New Roman;serif" w:hAnsi="Times New Roman;serif"/>
          <w:b w:val="false"/>
          <w:sz w:val="20"/>
        </w:rPr>
        <w:t>to the consolidated financial statements in the Company’s Form 10-K</w:t>
      </w:r>
      <w:r>
        <w:rPr>
          <w:rFonts w:ascii="Times New Roman" w:hAnsi="Times New Roman"/>
          <w:sz w:val="20"/>
        </w:rPr>
        <w:t xml:space="preserve"> </w:t>
      </w:r>
      <w:r>
        <w:rPr>
          <w:rFonts w:ascii="Times New Roman;serif" w:hAnsi="Times New Roman;serif"/>
          <w:b w:val="false"/>
          <w:sz w:val="20"/>
        </w:rPr>
        <w:t>for the year ended December 31, 2022.</w:t>
      </w:r>
    </w:p>
    <w:p>
      <w:pPr>
        <w:pStyle w:val="TextBody"/>
        <w:bidi w:val="0"/>
        <w:spacing w:before="240" w:after="0"/>
        <w:jc w:val="left"/>
        <w:rPr>
          <w:rFonts w:ascii="Times New Roman" w:hAnsi="Times New Roman"/>
          <w:sz w:val="20"/>
        </w:rPr>
      </w:pPr>
      <w:r>
        <w:rPr>
          <w:rFonts w:ascii="Times New Roman;serif" w:hAnsi="Times New Roman;serif"/>
          <w:b/>
          <w:i/>
          <w:sz w:val="20"/>
        </w:rPr>
        <w:t>401(k) Savings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 defined-contribution savings plan under Section 401(k) of the Internal Revenue Code. This plan covers substantially all employees who meet minimum age and service requirements and allows participants to defer a portion of their compensation on a pre-tax basis. Company contributions to the plan may be made at the discretion of the board of directors. As of December 31, 2022, the Company had not made any contributions to the plan. Effective January 1, 2023, the Company instituted an employer matching program for the 401(k) Plan pursuant to which the Company will match 100% of the first 3% of each participating employee’s eligible compensation contributed to the plan and 50% of up to an additional 2% each participating employee’s eligible compensation contributed to the plan. For the three and six months ended June 30, 2023, the Company recorded expense of $0.4</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respectively, related to these matching contributions.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Indemnification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business, the Company has agreed to defend and indemnify its customers against third-party claims asserting infringement of certain intellectual property rights, which may include patents, copyrights, trademarks, or trade secrets. The Company’s exposure under these indemnification provisions is generally limited to the total amount paid by the end-customer under the agreement. However, certain agreements include indemnification provisions that could potentially expose the Company to losses in excess of the amount received under the agreement. 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services as directors or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consolidated financial statements as of June 30, 2023 and December 31, 2022.</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Unconditional Purchase Commitment</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2021, the Company entered into an unconditional $9.5</w:t>
      </w:r>
      <w:r>
        <w:rPr>
          <w:rFonts w:ascii="Times New Roman" w:hAnsi="Times New Roman"/>
          <w:sz w:val="20"/>
        </w:rPr>
        <w:t xml:space="preserve"> </w:t>
      </w:r>
      <w:r>
        <w:rPr>
          <w:rFonts w:ascii="Times New Roman;serif" w:hAnsi="Times New Roman;serif"/>
          <w:b w:val="false"/>
          <w:sz w:val="20"/>
        </w:rPr>
        <w:t>million purchase commitment, in the ordinary course of business, for goods with specified annual minimum quantities to be purchased through December 2029. The contract is not cancellable without penalty. The remaining purchase commitment as of June 30, 2023</w:t>
      </w:r>
      <w:r>
        <w:rPr>
          <w:rFonts w:ascii="Times New Roman" w:hAnsi="Times New Roman"/>
          <w:sz w:val="20"/>
        </w:rPr>
        <w:t xml:space="preserve"> </w:t>
      </w:r>
      <w:r>
        <w:rPr>
          <w:rFonts w:ascii="Times New Roman;serif" w:hAnsi="Times New Roman;serif"/>
          <w:b w:val="false"/>
          <w:sz w:val="20"/>
        </w:rPr>
        <w:t>was $7.0</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 w:hAnsi="Times New Roman"/>
          <w:sz w:val="20"/>
        </w:rPr>
      </w:pPr>
      <w:r>
        <w:rPr>
          <w:rFonts w:ascii="Times New Roman;serif" w:hAnsi="Times New Roman;serif"/>
          <w:b/>
          <w:i/>
          <w:sz w:val="20"/>
        </w:rPr>
        <w:t>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9. Segment Reporting and Geographic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determined that it operates in one</w:t>
      </w:r>
      <w:r>
        <w:rPr>
          <w:rFonts w:ascii="Times New Roman" w:hAnsi="Times New Roman"/>
          <w:sz w:val="20"/>
        </w:rPr>
        <w:t xml:space="preserve"> </w:t>
      </w:r>
      <w:r>
        <w:rPr>
          <w:rFonts w:ascii="Times New Roman;serif" w:hAnsi="Times New Roman;serif"/>
          <w:b w:val="false"/>
          <w:sz w:val="20"/>
        </w:rPr>
        <w:t>segment (see Note 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 Note 10 for revenue by country. Long-lived assets by geography are summarized as follows (in thousands):</w:t>
      </w:r>
    </w:p>
    <w:p>
      <w:pPr>
        <w:pStyle w:val="TextBody"/>
        <w:bidi w:val="0"/>
        <w:spacing w:before="0" w:after="0"/>
        <w:jc w:val="left"/>
        <w:rPr/>
      </w:pPr>
      <w:r>
        <w:rPr/>
        <w:t> </w:t>
      </w:r>
    </w:p>
    <w:p>
      <w:pPr>
        <w:pStyle w:val="TextBody"/>
        <w:bidi w:val="0"/>
        <w:spacing w:before="0" w:after="0"/>
        <w:jc w:val="left"/>
        <w:rPr/>
      </w:pPr>
      <w:r>
        <w:rPr/>
        <w:t> </w:t>
      </w:r>
    </w:p>
    <w:tbl>
      <w:tblPr>
        <w:tblW w:w="6515" w:type="dxa"/>
        <w:jc w:val="left"/>
        <w:tblInd w:w="0" w:type="dxa"/>
        <w:tblLayout w:type="fixed"/>
        <w:tblCellMar>
          <w:top w:w="28" w:type="dxa"/>
          <w:left w:w="28" w:type="dxa"/>
          <w:bottom w:w="28" w:type="dxa"/>
          <w:right w:w="28" w:type="dxa"/>
        </w:tblCellMar>
      </w:tblPr>
      <w:tblGrid>
        <w:gridCol w:w="2761"/>
        <w:gridCol w:w="146"/>
        <w:gridCol w:w="267"/>
        <w:gridCol w:w="858"/>
        <w:gridCol w:w="146"/>
        <w:gridCol w:w="146"/>
        <w:gridCol w:w="357"/>
        <w:gridCol w:w="1143"/>
        <w:gridCol w:w="6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Long-lived assets by country(1):</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18,568</w:t>
            </w:r>
          </w:p>
        </w:tc>
        <w:tc>
          <w:tcPr>
            <w:tcW w:w="6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All other countries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761"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long-lived assets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19,223</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The Company’s only long-lived assets consist of property and equipment, net of depreciation, which are categorized based on their location of domicile.</w:t>
      </w:r>
    </w:p>
    <w:p>
      <w:pPr>
        <w:pStyle w:val="TextBody"/>
        <w:bidi w:val="0"/>
        <w:spacing w:before="0" w:after="0"/>
        <w:jc w:val="left"/>
        <w:rPr>
          <w:rFonts w:ascii="Times New Roman" w:hAnsi="Times New Roman"/>
          <w:sz w:val="20"/>
        </w:rPr>
      </w:pPr>
      <w:r>
        <w:rPr>
          <w:rFonts w:ascii="Times New Roman;serif" w:hAnsi="Times New Roman;serif"/>
          <w:b/>
          <w:sz w:val="20"/>
        </w:rPr>
        <w:t>10. 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Payments to Customers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determined that the payments made to the customer for reimbursement of clinical trial materials and customer’s costs incurred to execute specific clinical trial protocols related to the Company’s OCS products do not provide the Company with a distinct good or service transferred by the customer, and therefore such payments are recorded as a reduction of revenue from the customer in the Company’s consolidated statements of operations. The Company records the reduction of revenue in the same period as the revenue is recognized and records a corresponding accrual for its estimate of the payments. As clinical trials reach the closeout phase, the Company updates its accrual estimates with corresponding adjustments to revenue. The net impact of such adjustments were insignificant in each of the three and six months ended June 30, 2023 and 2022. The Company will continue to update its clinical trial accrual estimates as information related to clinical trial payments is received.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determined that payments made to customers to obtain information related to post-approval studies or existing standard-of-care protocols (i.e., unrelated to the Company’s OCS products) meet the criteria to be classified as a cost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because the Company receives a distinct good or service transferred by the customer separate from the customer’s purchase of the Company’s OCS products and the consideration paid to the customer represents the fair value of the distinct good or service received. As a result, such payments made to the customers are recorded as operating expenses. The Company recorded payments made to customers related to post-approval studies and for documentation related to existing standard-of-care protocols of $0.3</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$0.4</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for the six months ended June 30, 2023 and 2022, respectively, as operating expenses.</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Disaggregated Revenue</w:t>
      </w:r>
    </w:p>
    <w:p>
      <w:pPr>
        <w:pStyle w:val="TextBody"/>
        <w:bidi w:val="0"/>
        <w:spacing w:before="120" w:after="240"/>
        <w:jc w:val="left"/>
        <w:rPr>
          <w:rFonts w:ascii="Times New Roman" w:hAnsi="Times New Roman"/>
          <w:sz w:val="20"/>
        </w:rPr>
      </w:pPr>
      <w:r>
        <w:rPr>
          <w:rFonts w:ascii="Times New Roman;serif" w:hAnsi="Times New Roman;serif"/>
          <w:b w:val="false"/>
          <w:sz w:val="20"/>
        </w:rPr>
        <w:t>The Company disaggregates revenue from contracts with customers by organ type and geographical area as it believes this presentation best depicts how the nature, amount, timing and uncertainty of the Company’s revenue and cash flows are affected by economic factors, as shown below (in thousands):</w:t>
      </w:r>
      <w:r>
        <w:rPr>
          <w:rFonts w:ascii="Times New Roman" w:hAnsi="Times New Roman"/>
          <w:sz w:val="20"/>
        </w:rPr>
        <w:t xml:space="preserve"> </w:t>
      </w:r>
    </w:p>
    <w:tbl>
      <w:tblPr>
        <w:tblW w:w="8182" w:type="dxa"/>
        <w:jc w:val="left"/>
        <w:tblInd w:w="0" w:type="dxa"/>
        <w:tblLayout w:type="fixed"/>
        <w:tblCellMar>
          <w:top w:w="28" w:type="dxa"/>
          <w:left w:w="28" w:type="dxa"/>
          <w:bottom w:w="28" w:type="dxa"/>
          <w:right w:w="28" w:type="dxa"/>
        </w:tblCellMar>
      </w:tblPr>
      <w:tblGrid>
        <w:gridCol w:w="2821"/>
        <w:gridCol w:w="146"/>
        <w:gridCol w:w="231"/>
        <w:gridCol w:w="741"/>
        <w:gridCol w:w="160"/>
        <w:gridCol w:w="160"/>
        <w:gridCol w:w="231"/>
        <w:gridCol w:w="741"/>
        <w:gridCol w:w="146"/>
        <w:gridCol w:w="146"/>
        <w:gridCol w:w="211"/>
        <w:gridCol w:w="677"/>
        <w:gridCol w:w="146"/>
        <w:gridCol w:w="146"/>
        <w:gridCol w:w="211"/>
        <w:gridCol w:w="677"/>
        <w:gridCol w:w="5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2821"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by country by organ(1):</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100"/>
              <w:jc w:val="right"/>
              <w:rPr/>
            </w:pPr>
            <w:r>
              <w:rPr/>
              <w:t> </w:t>
            </w:r>
          </w:p>
        </w:tc>
      </w:tr>
      <w:tr>
        <w:trPr/>
        <w:tc>
          <w:tcPr>
            <w:tcW w:w="28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Lung 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4,595</w:t>
            </w:r>
          </w:p>
        </w:tc>
        <w:tc>
          <w:tcPr>
            <w:tcW w:w="591" w:type="dxa"/>
            <w:tcBorders/>
            <w:vAlign w:val="center"/>
          </w:tcPr>
          <w:p>
            <w:pPr>
              <w:pStyle w:val="TableContents"/>
              <w:bidi w:val="0"/>
              <w:spacing w:before="0" w:after="0"/>
              <w:ind w:left="0" w:right="0" w:firstLine="200"/>
              <w:jc w:val="left"/>
              <w:rPr/>
            </w:pPr>
            <w:r>
              <w:rPr/>
              <w:t> </w:t>
            </w:r>
          </w:p>
        </w:tc>
      </w:tr>
      <w:tr>
        <w:trPr/>
        <w:tc>
          <w:tcPr>
            <w:tcW w:w="2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Heart 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13,456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9,617</w:t>
            </w:r>
          </w:p>
        </w:tc>
        <w:tc>
          <w:tcPr>
            <w:tcW w:w="591" w:type="dxa"/>
            <w:tcBorders/>
            <w:vAlign w:val="center"/>
          </w:tcPr>
          <w:p>
            <w:pPr>
              <w:pStyle w:val="TableContents"/>
              <w:bidi w:val="0"/>
              <w:spacing w:before="0" w:after="0"/>
              <w:ind w:left="0" w:right="0" w:firstLine="200"/>
              <w:jc w:val="left"/>
              <w:rPr/>
            </w:pPr>
            <w:r>
              <w:rPr/>
              <w:t> </w:t>
            </w:r>
          </w:p>
        </w:tc>
      </w:tr>
      <w:tr>
        <w:trPr/>
        <w:tc>
          <w:tcPr>
            <w:tcW w:w="2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Liver 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32,674</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17,487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8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United States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48,947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31,699</w:t>
            </w:r>
          </w:p>
        </w:tc>
        <w:tc>
          <w:tcPr>
            <w:tcW w:w="591" w:type="dxa"/>
            <w:tcBorders/>
            <w:vAlign w:val="center"/>
          </w:tcPr>
          <w:p>
            <w:pPr>
              <w:pStyle w:val="TableContents"/>
              <w:bidi w:val="0"/>
              <w:spacing w:before="0" w:after="0"/>
              <w:ind w:left="0" w:right="0" w:firstLine="100"/>
              <w:jc w:val="left"/>
              <w:rPr/>
            </w:pPr>
            <w:r>
              <w:rPr/>
              <w:t> </w:t>
            </w:r>
          </w:p>
        </w:tc>
      </w:tr>
      <w:tr>
        <w:trPr/>
        <w:tc>
          <w:tcPr>
            <w:tcW w:w="28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All other countries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Lung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591" w:type="dxa"/>
            <w:tcBorders/>
            <w:vAlign w:val="center"/>
          </w:tcPr>
          <w:p>
            <w:pPr>
              <w:pStyle w:val="TableContents"/>
              <w:bidi w:val="0"/>
              <w:spacing w:before="0" w:after="0"/>
              <w:ind w:left="0" w:right="0" w:firstLine="200"/>
              <w:jc w:val="left"/>
              <w:rPr/>
            </w:pPr>
            <w:r>
              <w:rPr/>
              <w:t> </w:t>
            </w:r>
          </w:p>
        </w:tc>
      </w:tr>
      <w:tr>
        <w:trPr/>
        <w:tc>
          <w:tcPr>
            <w:tcW w:w="2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Heart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3,108</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4,160</w:t>
            </w:r>
          </w:p>
        </w:tc>
        <w:tc>
          <w:tcPr>
            <w:tcW w:w="591" w:type="dxa"/>
            <w:tcBorders/>
            <w:vAlign w:val="center"/>
          </w:tcPr>
          <w:p>
            <w:pPr>
              <w:pStyle w:val="TableContents"/>
              <w:bidi w:val="0"/>
              <w:spacing w:before="0" w:after="0"/>
              <w:ind w:left="0" w:right="0" w:firstLine="200"/>
              <w:jc w:val="left"/>
              <w:rPr/>
            </w:pPr>
            <w:r>
              <w:rPr/>
              <w:t> </w:t>
            </w:r>
          </w:p>
        </w:tc>
      </w:tr>
      <w:tr>
        <w:trPr/>
        <w:tc>
          <w:tcPr>
            <w:tcW w:w="2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Liver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8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all other countries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3,518</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82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40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52,465</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36,401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Revenue by country is categorized based on the location of the end customer. Total revenue includes product and service revenue. </w:t>
      </w:r>
    </w:p>
    <w:p>
      <w:pPr>
        <w:pStyle w:val="TextBody"/>
        <w:bidi w:val="0"/>
        <w:spacing w:before="240" w:after="0"/>
        <w:jc w:val="left"/>
        <w:rPr>
          <w:rFonts w:ascii="Times New Roman" w:hAnsi="Times New Roman"/>
          <w:sz w:val="20"/>
        </w:rPr>
      </w:pPr>
      <w:r>
        <w:rPr>
          <w:rFonts w:ascii="Times New Roman;serif" w:hAnsi="Times New Roman;serif"/>
          <w:b/>
          <w:sz w:val="20"/>
        </w:rPr>
        <w:t>11. Related Party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Employment of Dr. Amira Hassanein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Dr. Amira Hassanein, who serves as Product Director for the Company’s OCS Lung program, is the sister of Dr. Waleed Hassanein, the Company’s President and Chief Executive Officer and a member of the Company’s board of directors. The Company paid Dr. Amira Hassanein approximately $0.1</w:t>
      </w:r>
      <w:r>
        <w:rPr>
          <w:rFonts w:ascii="Times New Roman" w:hAnsi="Times New Roman"/>
          <w:sz w:val="20"/>
        </w:rPr>
        <w:t xml:space="preserve"> </w:t>
      </w:r>
      <w:r>
        <w:rPr>
          <w:rFonts w:ascii="Times New Roman;serif" w:hAnsi="Times New Roman;serif"/>
          <w:b w:val="false"/>
          <w:sz w:val="20"/>
        </w:rPr>
        <w:t>million in total compensation for each of the three months ended June 30, 2023 and 2022, for her services as an employee. The Company paid Dr. Amira Hassanein approximately $0.2</w:t>
      </w:r>
      <w:r>
        <w:rPr>
          <w:rFonts w:ascii="Times New Roman" w:hAnsi="Times New Roman"/>
          <w:sz w:val="20"/>
        </w:rPr>
        <w:t xml:space="preserve"> </w:t>
      </w:r>
      <w:r>
        <w:rPr>
          <w:rFonts w:ascii="Times New Roman;serif" w:hAnsi="Times New Roman;serif"/>
          <w:b w:val="false"/>
          <w:sz w:val="20"/>
        </w:rPr>
        <w:t>million in total compensation for each of the six months ended June 30, 2023 and 2022, for her services as an employee.</w:t>
      </w:r>
    </w:p>
    <w:p>
      <w:pPr>
        <w:pStyle w:val="TextBody"/>
        <w:bidi w:val="0"/>
        <w:spacing w:before="24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12. Subsequent Events</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1, 2023, the Company entered into an equity purchase agreement to acquire all of the equity of Summit Aviation, Inc. and Northside Property Group, LLC, or together Summit. Summit is a charter flight operator based in Bozeman, Montana, and the Company intends to operate Summit as part of its NOP services offering to transport donor organs. The acquisition is expected to close in the third quarter of 2023, subject to closing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separate transactions in July 2023 and August 2023, the Company acquired two</w:t>
      </w:r>
      <w:r>
        <w:rPr>
          <w:rFonts w:ascii="Times New Roman" w:hAnsi="Times New Roman"/>
          <w:sz w:val="20"/>
        </w:rPr>
        <w:t xml:space="preserve"> </w:t>
      </w:r>
      <w:r>
        <w:rPr>
          <w:rFonts w:ascii="Times New Roman;serif" w:hAnsi="Times New Roman;serif"/>
          <w:b w:val="false"/>
          <w:sz w:val="20"/>
        </w:rPr>
        <w:t>fixed-wing aircraft from two</w:t>
      </w:r>
      <w:r>
        <w:rPr>
          <w:rFonts w:ascii="Times New Roman" w:hAnsi="Times New Roman"/>
          <w:sz w:val="20"/>
        </w:rPr>
        <w:t xml:space="preserve"> </w:t>
      </w:r>
      <w:r>
        <w:rPr>
          <w:rFonts w:ascii="Times New Roman;serif" w:hAnsi="Times New Roman;serif"/>
          <w:b w:val="false"/>
          <w:sz w:val="20"/>
        </w:rPr>
        <w:t>separate sellers. The Company plans to utilize these aircraft as part of the NOP's aviation services following consummation of the acquisition of Summit.</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2, 2023, the Company acquired certain assets related to lung and heart perfusion technology from Bridge to Life Ltd. and its subsidiary Tevosol, Inc., or together Bridge to Life. The Company intends to further develop these technologies to expand its product offerings and indications for organ transplantation.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expects to use approximately $70</w:t>
      </w:r>
      <w:r>
        <w:rPr>
          <w:rFonts w:ascii="Times New Roman" w:hAnsi="Times New Roman"/>
          <w:sz w:val="20"/>
        </w:rPr>
        <w:t xml:space="preserve"> </w:t>
      </w:r>
      <w:r>
        <w:rPr>
          <w:rFonts w:ascii="Times New Roman;serif" w:hAnsi="Times New Roman;serif"/>
          <w:b w:val="false"/>
          <w:sz w:val="20"/>
        </w:rPr>
        <w:t>million of its cash balance to fund these acquisitions.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2022, as filed with the SEC on February 27, 2023 (“2022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“Item 1A. Risk Factors” section of this Quarterly Report on Form 10-Q and the “Item 1A. Risk Factors” section of our 2022 Form 10-K, our actual results could differ materially from the results described in or implied by the forward-looking statements contained in the following discussion and analysis.</w:t>
      </w:r>
    </w:p>
    <w:p>
      <w:pPr>
        <w:pStyle w:val="TextBody"/>
        <w:bidi w:val="0"/>
        <w:spacing w:before="24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commercial-stage medical technology company transforming organ transplant therapy for end-stage organ failure patients across multiple disease states. We developed the OCS to replace a decades-old standard of care that we believe is significantly limiting access to life-saving transplant therapy for hundreds of thousands of patients worldwide. Our innovative OCS technology replicates many aspects of the organ’s natural living and functioning environment outside of the human body. As such, the OCS represents a paradigm shift that transforms organ preservation for transplantation from a static state to a dynamic environment that enables new capabilities, including organ optimization and assessment. We have also developed our National OCS Program, or NOP, an innovative turnkey solution to provide outsourced organ retrieval and OCS organ management, to provide transplant programs in the United States with a more efficient process to procure donor organs with the OCS. We believe the use of the OCS combined with the NOP has the potential to significantly increase the number of organ transplants and improve post-transplant outcomes.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designed the OCS to be a platform that allows us to leverage core technologies across products for multiple organs. To date, we have developed three OCS products, one for each of heart, lung and liver transplantations, making the OCS the only FDA approved, portable, multi-organ, warm perfusion technology platform. All three of our products, OCS Heart, OCS Lung and OCS Liver, have received Pre-Market Approval, or PMA, from the Food and Drug Administration, or FDA for both organs donated after brain death, or DBD organs, and organs donated after circulatory death, or DCD organs.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focused substantially all of our resources on designing, developing and building our proprietary OCS technology platform and organ-specific OCS products; obtaining clinical evidence for the safety and effectiveness of our OCS products through clinical trials; securing regulatory approval; organizing and staffing our company; planning our business; raising capital; commercializing our products; developing and growing our NOP; developing and expanding our market and distribution chain and providing general and administrative support for these operations. To date, we have funded our operations primarily with proceeds from borrowings under loan agreements, proceeds from the sale of common stock in our public offerings, and revenue from clinical trials and commercial sales of our OCS products and NOP services.</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incurred significant operating losses. Our ability to generate revenue sufficient to achieve profitability will depend on the successful further development and commercialization of our products. We generated total revenue of $94.0 million and incurred a net loss of $3.6 million for the six months ended June 30, 2023. We generated total revenue of $93.5 million and incurred a net loss of $36.2 million for the year ended December 31, 2022. As of June 30, 2023, we had an accumulated deficit of $482.3 million. We expect to continue to incur net losses for the foreseeable future as we focus on growing commercial sales of our products in both the United States and select non-U.S. markets, including growing our commercial team, which will pursue increasing commercial sales of our OCS products; growing our NOP, including by establishing and growing our aviation operations to support our NOP to reduce dependence on third party transportation, including by means of the acquisition of fixed-wing aircraft or other acquisitions, joint ventures or strategic investments; scaling our manufacturing and sterilization operations; developing the next generation OCS; continuing research, development and clinical trial efforts; seeking regulatory clearance for new products and product enhancements, including additional indications or other organs, in both the United States and select non-U.S. markets; and operating as a public company. As a result, we will need substantial additional funding for expenses related to our operating activities, including selling, general and administrative expenses and research, development and clinical trials expenses.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of the numerous risks and uncertainties associated with product development, commercialization and regulations of our industry, we are unable to accurately predict the timing or amount of increased expenses or when, or if, we will be able to achieve or maintain profitability. Until such time, if ever, as we can generate substantial revenue sufficient to achieve profitability, we expect to finance our operations through a combination of equity offerings, debt financings and strategic alliances. We may be unable to raise additional funds or enter into such other agreements or arrangements when needed on favorable terms or at all. If we are unable to raise capital or enter into such agreements as, and when, needed, we may have to significantly delay, scale back or discontinue the further development and commercialization efforts of one or more of our products, or may be forced to reduce or terminate our operations. In March 2023, the U.S. Department of Health and Human Services’ Health Resources and Services Administration, or HRSA, announced initiatives designed to improve the Organ Procurement and Transplantation network, or OPTN, including its intent to solicit contract proposals to manage the OPTN, which is currently operated by the United Network for Organ Sharing, or UNOS, under a contract that expires in September 2023. Additionally, on July 25, 2023 and July 27, 2023, the U.S. House of Representatives and U.S. Senate, respectively, passed the Securing the U.S. Organ Procurement and Transplantation Network Act, which expressly authorizes HRSA to award multiple grants, contracts or cooperative agreements to support the operation of the OPTN and specifies that the OPTN shall be operated through awards that are distinct from awards made to support the organization tasked with supporting the networks’ board of directors. The impact that the HRSA initiatives and the U.S. Organ Procurement and Transplantation Network Act, if signed into law, may have on our business, including on our NOP, is uncertain at this time.</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2023, we issued and sold $460.0 million in aggregate principal amount of our 1.50% Convertible Senior Notes due 2028, or the Notes, in a private placement to qualified institutional buyers pursuant to Rule 144A under the Securities Act. The Notes were issued pursuant to an indenture, dated May 11, 2023. The Notes bear interest at a rate of 1.50% per year, payable semi-annually in arrears on June 1 and December 1 of each year, beginning on December 1, 2023. The Notes will mature on June 1, 2028, unless earlier converted, redeemed or repurchased.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August 1, 2023, we entered into an equity purchase agreement to acquire all of the equity of Summit Aviation, Inc. and Northside Property Group, LLC, or together Summit. Summit is a charter flight operator based in Bozeman, Montana, and we intend to operate Summit as part of our NOP services offering to transport donor organs using our OCS, which will reduce our dependence on third party transportation providers. The acquisition is expected to close in the third quarter of 2023, subject to closing conditions. In separate transactions, we also have acquired two fixed-wing aircraft from two separate sellers. We plan to utilize these aircraft as part of the NOP’s aviation services following the consummation of the acquisition of Summit, and we intend to acquire additional fixed-wing aircraft as we scale our aviation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cash of $582.2 million. We believe that our cash will be sufficient for us to fund our operating expenses, capital expenditure requirements and debt service payments for at least 12 months following the filing of our Quarterly Report on Form 10-Q. We have based this estimate on assumptions that may prove to be wrong, and we could exhaust our available capital resources sooner than we expect. See “—Liquidity and Capital Resources”.</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Economic Impacts and COVID-19</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Inflation, changes in trade policies, and the imposition of duties and tariffs have and could continue to adversely impact the price or availability of raw materials, the components of our products as well as shipping and transportation costs. For example, the global economy has experienced extreme volatility and disruptions, including significant volatility in commodity, other material and labor costs, declines in consumer confidence, declines in economic growth, supply chain interruptions, uncertainty about economic stability and record inflation globally. Unfavorable economic conditions have and could continue to result in a variety of risks to our business, including impacts on demand and pricing for our products and pricing and availability of raw materials and components for our products, which could make it difficult to forecast our inventory needs and financial results.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maintain an inventory of finished products and raw materials used in our OCS products, these economic impacts could lead to shortages in the raw materials necessary to manufacture our products. The extent to which economic factors impact operations of our third-party partners will depend on future developments, which are highly uncertain and cannot be predicted with confidence. If we experience a prolonged disruption in our manufacturing, supply chains, or commercial operations, we would expect to experience a material adverse impact on our business, financial condition, results of operations and prospects.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COVID-19 pandemic, including efforts to contain the spread of the coronavirus, has impacted, and may continue to impact, our business, financial condition, operating results and cash flows, including as a result of the impact of new variants or spikes in infection rates. Continued impacts to our business as a result of COVID-19 may include decreased overall frequency of transplant procedures; disruptions to our manufacturing operations and supply chain; labor shortages; decreased productivity and unavailability of materials or components; limitations on our employees’ and customers’ ability to travel, and delays in product installations, trainings or shipments to and from other affected countries and within the United States.</w:t>
      </w:r>
    </w:p>
    <w:p>
      <w:pPr>
        <w:pStyle w:val="TextBody"/>
        <w:bidi w:val="0"/>
        <w:spacing w:before="240" w:after="0"/>
        <w:jc w:val="left"/>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generate net product revenue primarily from sales of our single-use, organ-specific disposable sets used on our organ-specific OCS Consoles. To a lesser extent, we also generate product revenue from the sale of OCS Consoles to customers and the implied rental of OCS Consoles loaned to customers at no charge. For each new transplant procedure, customers purchase an additional OCS disposable set for use on the customer’s existing organ-specific OCS Console. We also generate service revenue by providing outsourced organ retrieval and OCS organ management services under our NOP in the United States.</w:t>
      </w:r>
    </w:p>
    <w:p>
      <w:pPr>
        <w:pStyle w:val="TextBody"/>
        <w:bidi w:val="0"/>
        <w:spacing w:before="120" w:after="0"/>
        <w:jc w:val="left"/>
        <w:rPr>
          <w:rFonts w:ascii="Times New Roman" w:hAnsi="Times New Roman"/>
          <w:sz w:val="20"/>
        </w:rPr>
      </w:pPr>
      <w:r>
        <w:rPr>
          <w:rFonts w:ascii="Times New Roman;serif" w:hAnsi="Times New Roman;serif"/>
          <w:b w:val="false"/>
          <w:sz w:val="20"/>
        </w:rPr>
        <w:t>All of our revenue has been generated by sales to transplant centers and Organ Procurement Organizations, not-for-profit organizations responsible for recovering organs from deceased donors for transplantation, in the United States, Europe and Asia-Pacific, or, in some cases, to distributors selling to transplant centers in select countries. Substantially all of our customer contracts have multiple-performance obligations that contain promises consisting of OCS Perfusion Sets and OCS Solutions, and may also contain promises for organ retrieval and OCS organ management services under our NOP, and an OCS Console, whether sold or loaned to the customer.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When a customer order includes disposable sets and organ retrieval or OCS organ management services, we have determined that the disposable sets and services constitute separate performance obligations and we recognize revenue as the disposable sets and services are each delivered to the customer.</w:t>
      </w:r>
    </w:p>
    <w:p>
      <w:pPr>
        <w:pStyle w:val="TextBody"/>
        <w:bidi w:val="0"/>
        <w:spacing w:before="120" w:after="0"/>
        <w:jc w:val="left"/>
        <w:rPr>
          <w:rFonts w:ascii="Times New Roman" w:hAnsi="Times New Roman"/>
          <w:sz w:val="20"/>
        </w:rPr>
      </w:pPr>
      <w:r>
        <w:rPr>
          <w:rFonts w:ascii="Times New Roman;serif" w:hAnsi="Times New Roman;serif"/>
          <w:b w:val="false"/>
          <w:sz w:val="20"/>
        </w:rPr>
        <w:t>We have customer agreements under which we loan our OCS Consoles to the customer for the duration of the agreement. In such cases, we place an organ-specific OCS Console at the customer site for its use free of charge, and the customer separately purchases from us the OCS disposable sets used in each transplant procedure. When we loan the OCS Console to the customer, we retain title to the console at all times and do not require minimum purchase commitments from the customer related to any OCS products. In such cases, we invoice the customer for OCS disposable sets based on customer orders received for each new transplant procedure and the prices set forth in the customer agreement. Over time, we typically recover the cost of the loaned OCS Console through the customer’s continued purchasing and use of additional OCS disposable sets. For these reasons, we have determined that part of the selling price for the disposable set is an implied rental payment for use of the OCS Console.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some of our customer clinical trial agreements, we made payments to our customers for reimbursements of clinical trial materials and for specified clinical documentation related to their use of our OCS products. Because some of these payments did not provide us with a separately identifiable benefit, we recorded such payments as a reduction of revenue from the customer, resulting in our net product revenue presentation.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Through June 30, 2023, all of our sales outside of the United States have been commercial sales (unrelated to any clinical trials). Our sales in the EU are dependent on obtaining and maintaining the CE Mark certifications for each of our OCS products. As required by the EU Medical Devices Regulation (Regulation 2017/745), or the MDR, we received recertification of the CE Mark in September 2022 for each of the OCS Heart and OCS Lung systems, which includes the OCS Console, the OCS disposables, and the OCS solution additives. We also received the recertification of the CE Mark in September 2022 for the OCS Liver Console and disposables. We received the CE Mark for the OCS Liver combined with our solution additives under the MDR in May 2023, with an effective date of April 2023.</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our revenue will increase over the long term as a result of receiving PMAs for the OCS Lung, OCS Heart and OCS Liver in the United States, and as a result of the continued growth of the NOP in the United States. We also expect that our revenue will increase over the long term as a result of anticipated growth in non-U.S. sales if national healthcare systems begin to reimburse transplant centers for the use of the OCS, if transplant centers utilize the OCS in more transplant cases, and if more transplant centers adopt the OCS in their programs.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Cost of Revenue, Gross Profit and Gross Margin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Cost of net product revenue consists of costs of components of our OCS Consoles and disposable sets, costs of direct materials, labor and the manufacturing overhead that directly supports production and depreciation of OCS Consoles loaned to customers. When we loan an OCS Console to a customer for its use free of charge, we capitalize as property and equipment the cost of our OCS Console and depreciate it over its five-year estimated useful life. Included in the cost of OCS disposable sets are the costs of our OCS Lung, OCS Heart and OCS Liver Solutions. Cost of service revenue primarily consists of labor and overhead and transportation costs that directly support organ retrieval and OCS organ management services. We expect that cost of revenue will increase or decrease in absolute dollars primarily as, and to the extent that, our revenue increases or decreases.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profit is the amount by which our revenue exceeds our cost of revenue in each reporting period. We calculate gross margin as gross profit divided by revenue. Our gross margin has been and will continue to be affected by a variety of factors, primarily production volumes, the cost of components and direct materials, manufacturing overhead costs, direct labor, the cost of services provided under the NOP and the selling price of our OCS products and NOP services.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the cost of net product revenue as a percentage of net product revenue will moderately decrease and gross margin and gross profit will moderately increase over the long term as our sales and production volumes increase and our cost per unit of our OCS disposable sets decreases due to economies of scale, our product enhancements and improved manufacturing efficiency. We intend to use our design, engineering and manufacturing capabilities to further advance and improve the efficiency of our manufacturing processes, which we believe will reduce costs and increase our gross margin. We also expect to see modest improvements in the future in our gross margin on services as we provide more services and the efficiency in provisioning of these services improves due to scale and experience. While we expect our gross margins to increase over the long term, they will likely fluctuate from quarter to quarter.</w:t>
      </w:r>
    </w:p>
    <w:p>
      <w:pPr>
        <w:pStyle w:val="TextBody"/>
        <w:bidi w:val="0"/>
        <w:spacing w:before="24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Development and Clinical Trials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development and clinical trials expenses consist primarily of costs incurred for our research activities, product development, hardware and software engineering, clinical trials to continue to develop clinical evidence of our products’ safety and effectiveness, regulatory expenses, testing, consultant services and other costs associated with our OCS technology platform and OCS products, which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employee-related expenses, including salaries, related benefits and stock-based compensation expense for employees engaged in research, hardware and software development, regulatory and clinical trial functions;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incurred in connection with the clinical trials of our products, including under agreements with third parties, such as consultants, contractors and data management organizations;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maintaining and improving our product designs, including the testing of materials and parts used in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laboratory supplies and research materials;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facilities, depreciation and other expenses, which include direct and allocated expenses for rent and maintenance of facilities and insurance.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expense research, development and clinical trials costs as incurred. In the future, we expect that research, development and clinical trials expenses will increase over the long term due to ongoing product development and approval efforts. We expect to continue to perform activities related to obtaining additional regulatory approvals for expanded indications in the United States and other served geographies, as well as developing the next generation of our OCS technology platform.</w:t>
      </w:r>
    </w:p>
    <w:p>
      <w:pPr>
        <w:pStyle w:val="TextBody"/>
        <w:bidi w:val="0"/>
        <w:spacing w:before="240" w:after="0"/>
        <w:jc w:val="left"/>
        <w:rPr>
          <w:rFonts w:ascii="Times New Roman" w:hAnsi="Times New Roman"/>
          <w:sz w:val="20"/>
        </w:rPr>
      </w:pPr>
      <w:r>
        <w:rPr>
          <w:rFonts w:ascii="Times New Roman;serif" w:hAnsi="Times New Roman;serif"/>
          <w:b w:val="false"/>
          <w:i/>
          <w:sz w:val="20"/>
        </w:rPr>
        <w:t>Selling, 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Selling, general and administrative expenses consist primarily of salaries and related costs, including stock-based compensation, for personnel in our commercial team and personnel in executive, marketing, finance and administrative functions. Selling, general and administrative expenses also include direct and allocated facility-related costs, logistics costs, promotional activities, marketing, conferences and trade show costs as well as professional fees for legal, patent, consulting, investor and public relations, accounting and audit services. We expect to continue to increase headcount in our commercial team and increase marketing efforts as we continue to grow commercial sales of our OCS products in both U.S. and select non-U.S. markets.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our selling, general and administrative expenses will increase over the long term as we increase our headcount to support the expected continued sales growth of our OCS products and our NOP.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Other Income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expense consists of interest expense associated with outstanding borrowings under our loan agreements as well as the amortization of debt discounts associated with such agreements. In July 2022, we entered into a credit agreement with Canadian Imperial Bank of Commerce, or CIBC, under which we borrowed $60.0 million. At that time, we repaid the remaining $35.0 million of principal that had been outstanding under our prior credit agreement with OrbiMed Royalty Opportunities II, LP, or OrbiMed. In May 2023, we issued and sold $460.0 million in aggregate principal amount of our 1.50% Convertible Senior Notes due 2028.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(expense), net includes interest income, realized and unrealized foreign currency transaction gains and losses and other non-operating income and expense items unrelated to our core operations. Interest income consists of interest earned on our invested cash balances. Foreign currency transaction gains and losses result from intercompany transactions as well as transactions with customers or vendors denominated in currencies other than the functional currency of the legal entity in which the transaction is recorded.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Three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June 30, 2023 and 2022:</w:t>
      </w:r>
    </w:p>
    <w:p>
      <w:pPr>
        <w:pStyle w:val="TextBody"/>
        <w:bidi w:val="0"/>
        <w:spacing w:before="0" w:after="0"/>
        <w:jc w:val="left"/>
        <w:rPr/>
      </w:pPr>
      <w:r>
        <w:rPr/>
        <w:t> </w:t>
      </w:r>
    </w:p>
    <w:tbl>
      <w:tblPr>
        <w:tblW w:w="7665" w:type="dxa"/>
        <w:jc w:val="left"/>
        <w:tblInd w:w="0" w:type="dxa"/>
        <w:tblLayout w:type="fixed"/>
        <w:tblCellMar>
          <w:top w:w="28" w:type="dxa"/>
          <w:left w:w="28" w:type="dxa"/>
          <w:bottom w:w="28" w:type="dxa"/>
          <w:right w:w="28" w:type="dxa"/>
        </w:tblCellMar>
      </w:tblPr>
      <w:tblGrid>
        <w:gridCol w:w="3466"/>
        <w:gridCol w:w="146"/>
        <w:gridCol w:w="222"/>
        <w:gridCol w:w="713"/>
        <w:gridCol w:w="175"/>
        <w:gridCol w:w="154"/>
        <w:gridCol w:w="222"/>
        <w:gridCol w:w="777"/>
        <w:gridCol w:w="166"/>
        <w:gridCol w:w="146"/>
        <w:gridCol w:w="211"/>
        <w:gridCol w:w="676"/>
        <w:gridCol w:w="5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2"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t> </w:t>
            </w:r>
          </w:p>
        </w:tc>
        <w:tc>
          <w:tcPr>
            <w:tcW w:w="175"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 </w:t>
            </w:r>
          </w:p>
        </w:tc>
        <w:tc>
          <w:tcPr>
            <w:tcW w:w="99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firstLine="100"/>
              <w:jc w:val="center"/>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product revenue</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42,462</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24,540</w:t>
            </w:r>
          </w:p>
        </w:tc>
        <w:tc>
          <w:tcPr>
            <w:tcW w:w="591" w:type="dxa"/>
            <w:tcBorders/>
            <w:vAlign w:val="center"/>
          </w:tcPr>
          <w:p>
            <w:pPr>
              <w:pStyle w:val="TableContents"/>
              <w:bidi w:val="0"/>
              <w:spacing w:before="0" w:after="0"/>
              <w:ind w:left="0" w:right="0" w:firstLine="100"/>
              <w:jc w:val="left"/>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52,465</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31,944</w:t>
            </w:r>
          </w:p>
        </w:tc>
        <w:tc>
          <w:tcPr>
            <w:tcW w:w="5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935"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100"/>
              <w:jc w:val="right"/>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Cost of net product revenue</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8,558</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4,478</w:t>
            </w:r>
          </w:p>
        </w:tc>
        <w:tc>
          <w:tcPr>
            <w:tcW w:w="591" w:type="dxa"/>
            <w:tcBorders/>
            <w:vAlign w:val="center"/>
          </w:tcPr>
          <w:p>
            <w:pPr>
              <w:pStyle w:val="TableContents"/>
              <w:bidi w:val="0"/>
              <w:spacing w:before="0" w:after="0"/>
              <w:ind w:left="0" w:right="0" w:firstLine="100"/>
              <w:jc w:val="left"/>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7,166</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15,724</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4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36,741</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22,391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35" w:type="dxa"/>
            <w:gridSpan w:val="2"/>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100"/>
              <w:jc w:val="left"/>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development and clinical trials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8,291</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1,577</w:t>
            </w:r>
          </w:p>
        </w:tc>
        <w:tc>
          <w:tcPr>
            <w:tcW w:w="591" w:type="dxa"/>
            <w:tcBorders/>
            <w:vAlign w:val="center"/>
          </w:tcPr>
          <w:p>
            <w:pPr>
              <w:pStyle w:val="TableContents"/>
              <w:bidi w:val="0"/>
              <w:spacing w:before="0" w:after="0"/>
              <w:ind w:left="0" w:right="0" w:firstLine="100"/>
              <w:jc w:val="left"/>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29,356</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37,647</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13,552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935" w:type="dxa"/>
            <w:gridSpan w:val="2"/>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9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(2,505</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(1,533</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2,431</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4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10,521</w:t>
            </w:r>
          </w:p>
        </w:tc>
        <w:tc>
          <w:tcPr>
            <w:tcW w:w="5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0" w:after="0"/>
        <w:jc w:val="left"/>
        <w:rPr/>
      </w:pPr>
      <w:r>
        <w:rPr/>
        <w:t> </w:t>
      </w:r>
    </w:p>
    <w:tbl>
      <w:tblPr>
        <w:tblW w:w="6941" w:type="dxa"/>
        <w:jc w:val="left"/>
        <w:tblInd w:w="0" w:type="dxa"/>
        <w:tblLayout w:type="fixed"/>
        <w:tblCellMar>
          <w:top w:w="28" w:type="dxa"/>
          <w:left w:w="28" w:type="dxa"/>
          <w:bottom w:w="28" w:type="dxa"/>
          <w:right w:w="28" w:type="dxa"/>
        </w:tblCellMar>
      </w:tblPr>
      <w:tblGrid>
        <w:gridCol w:w="2761"/>
        <w:gridCol w:w="146"/>
        <w:gridCol w:w="231"/>
        <w:gridCol w:w="741"/>
        <w:gridCol w:w="160"/>
        <w:gridCol w:w="160"/>
        <w:gridCol w:w="231"/>
        <w:gridCol w:w="741"/>
        <w:gridCol w:w="146"/>
        <w:gridCol w:w="146"/>
        <w:gridCol w:w="211"/>
        <w:gridCol w:w="676"/>
        <w:gridCol w:w="5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3"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by country by organ:</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firstLine="100"/>
              <w:jc w:val="center"/>
              <w:rPr/>
            </w:pPr>
            <w:r>
              <w:rPr/>
              <w:t> </w:t>
            </w:r>
          </w:p>
        </w:tc>
      </w:tr>
      <w:tr>
        <w:trPr/>
        <w:tc>
          <w:tcPr>
            <w:tcW w:w="276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Lung 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5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Heart 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13,456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7,580</w:t>
            </w:r>
          </w:p>
        </w:tc>
        <w:tc>
          <w:tcPr>
            <w:tcW w:w="5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Liver 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32,674</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23,056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7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United States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48,947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30,809</w:t>
            </w:r>
          </w:p>
        </w:tc>
        <w:tc>
          <w:tcPr>
            <w:tcW w:w="591" w:type="dxa"/>
            <w:tcBorders/>
            <w:vAlign w:val="center"/>
          </w:tcPr>
          <w:p>
            <w:pPr>
              <w:pStyle w:val="TableContents"/>
              <w:bidi w:val="0"/>
              <w:spacing w:before="0" w:after="0"/>
              <w:ind w:left="0" w:right="0" w:firstLine="100"/>
              <w:jc w:val="left"/>
              <w:rPr/>
            </w:pPr>
            <w:r>
              <w:rPr/>
              <w:t> </w:t>
            </w:r>
          </w:p>
        </w:tc>
      </w:tr>
      <w:tr>
        <w:trPr/>
        <w:tc>
          <w:tcPr>
            <w:tcW w:w="276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All other countries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Lung 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5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Heart 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3,108</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w:t>
            </w:r>
          </w:p>
        </w:tc>
        <w:tc>
          <w:tcPr>
            <w:tcW w:w="5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Liver 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7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all other countries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3,518</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52,465</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31,944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Revenue from customers in the United States was $48.9 million in the three months ended June 30, 2023 and increased by $30.8 million compared to the three months ended June 30, 2022, primarily due to higher sales volumes of our OCS Liver and OCS Heart disposable sets. Revenue for each organ in the table above includes net product revenue from sales of disposable sets as well as service revenue for organ retrieval and OCS organ management services under the NOP in the United States. Revenue from customers who participated in our NOP accounted for approximately 95% and 84% of total revenue from customers in the United States for the three months ended June 30, 2023 and 2022, respectively. Revenue from sales of OCS Liver disposable sets and organ retrieval and OCS organ management services in the United States increased by $23.1 million due primarily to higher sales volumes of OCS Liver disposable sets resulting from increased utilization of our NOP. Revenue from sales of OCS Heart disposable sets and organ retrieval and OCS organ management services in the United States increased by $7.6 million also primarily as a result of increased utilization of our NOP.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Revenue from customers outside the United States was $3.5 million in the three months ended June 30, 2023 and increased by $1.1 million compared to the three months ended June 30, 2022. Revenue outside of the United States increased for the three months ended June 30, 2023 compared to the three months ended June 30, 2022 due primarily to increased sales volume of OCS Heart disposable sets and OCS Lung disposable 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Cost of Revenue, Gross Profit and Gross Margin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 of net product revenue increased by $4.5 million in the three months ended June 30, 2023 compared to the three months ended June 30, 2022. Cost of service revenue increased by $5.1 million from $2.1 million in the three months ended June 30, 2022 to $7.2 million in the three months ended June 30, 2023 as we experienced increased utilization of the NOP, which launched in late 2021. Gross profit increased by $22.4 million in the three months ended June 30, 2023 compared to the three months ended June 30,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margin from net product revenue was 80% and 77% for the three months ended June 30, 2023 and 2022, respectively. Gross margin from net product revenue increased primarily as a result of economies of scale from higher sales volumes and increased U.S. sales, which are higher margin than non-US sales. Gross margin from service revenue was 28% and 20% for the three months ended June 30, 2023 and 2022, respectively, and consisted primarily of organ retrieval and OCS organ management services under our NOP. Gross margin from service revenue increased during the three months ended June 30, 2023 as compared to the three months ended June 30, 2022 due to increased efficiencies as a result of the increased utilization of our NOP.</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Development and Clinical Trials Expenses</w:t>
      </w:r>
      <w:r>
        <w:rPr>
          <w:rFonts w:ascii="Times New Roman" w:hAnsi="Times New Roman"/>
          <w:sz w:val="20"/>
        </w:rPr>
        <w:t xml:space="preserve"> </w:t>
      </w:r>
    </w:p>
    <w:p>
      <w:pPr>
        <w:pStyle w:val="TextBody"/>
        <w:bidi w:val="0"/>
        <w:spacing w:before="0" w:after="0"/>
        <w:jc w:val="left"/>
        <w:rPr/>
      </w:pPr>
      <w:r>
        <w:rPr/>
        <w:t> </w:t>
      </w:r>
    </w:p>
    <w:tbl>
      <w:tblPr>
        <w:tblW w:w="7891" w:type="dxa"/>
        <w:jc w:val="left"/>
        <w:tblInd w:w="0" w:type="dxa"/>
        <w:tblLayout w:type="fixed"/>
        <w:tblCellMar>
          <w:top w:w="28" w:type="dxa"/>
          <w:left w:w="28" w:type="dxa"/>
          <w:bottom w:w="28" w:type="dxa"/>
          <w:right w:w="28" w:type="dxa"/>
        </w:tblCellMar>
      </w:tblPr>
      <w:tblGrid>
        <w:gridCol w:w="3916"/>
        <w:gridCol w:w="146"/>
        <w:gridCol w:w="257"/>
        <w:gridCol w:w="697"/>
        <w:gridCol w:w="178"/>
        <w:gridCol w:w="178"/>
        <w:gridCol w:w="257"/>
        <w:gridCol w:w="697"/>
        <w:gridCol w:w="146"/>
        <w:gridCol w:w="146"/>
        <w:gridCol w:w="211"/>
        <w:gridCol w:w="571"/>
        <w:gridCol w:w="4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8"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91" w:type="dxa"/>
            <w:tcBorders/>
            <w:vAlign w:val="center"/>
          </w:tcPr>
          <w:p>
            <w:pPr>
              <w:pStyle w:val="TableContents"/>
              <w:bidi w:val="0"/>
              <w:spacing w:before="0" w:after="0"/>
              <w:ind w:left="0" w:right="0" w:firstLine="100"/>
              <w:jc w:val="center"/>
              <w:rPr/>
            </w:pPr>
            <w:r>
              <w:rPr/>
              <w:t> </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 xml:space="preserve">Personnel related (including stock-based </w:t>
              <w:br/>
              <w:t>   compensation expense)</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3,656</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w:t>
            </w:r>
          </w:p>
        </w:tc>
        <w:tc>
          <w:tcPr>
            <w:tcW w:w="491" w:type="dxa"/>
            <w:tcBorders/>
            <w:vAlign w:val="center"/>
          </w:tcPr>
          <w:p>
            <w:pPr>
              <w:pStyle w:val="TableContents"/>
              <w:bidi w:val="0"/>
              <w:spacing w:before="0" w:after="0"/>
              <w:ind w:left="0" w:right="0" w:firstLine="100"/>
              <w:jc w:val="left"/>
              <w:rPr/>
            </w:pPr>
            <w:r>
              <w:rPr/>
              <w:t> </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Consulting and third-party testing</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491" w:type="dxa"/>
            <w:tcBorders/>
            <w:vAlign w:val="center"/>
          </w:tcPr>
          <w:p>
            <w:pPr>
              <w:pStyle w:val="TableContents"/>
              <w:bidi w:val="0"/>
              <w:spacing w:before="0" w:after="0"/>
              <w:ind w:left="0" w:right="0" w:firstLine="100"/>
              <w:jc w:val="left"/>
              <w:rPr/>
            </w:pPr>
            <w:r>
              <w:rPr/>
              <w:t> </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Laboratory supplies and research materials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1,306</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4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Clinical trials costs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4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9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 xml:space="preserve">Total research, development and clinical trials </w:t>
              <w:br/>
              <w:t>   expenses</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8,291</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1,577</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Total research, development and clinical trials expenses increased by $1.6 million from $6.7 million in the three months ended June 30, 2022 to $8.3 million in the three months ended June 30, 2023. Personnel related costs increased by $1.4 million due primarily to increased headcount to support development efforts for our next generation OCS program and overall compensation increases. Personnel related costs included stock based compensation expense of $0.7 million and $0.4 million for the three months ended June 30, 2023 and 2022,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Selling, General and Administrative Expenses</w:t>
      </w:r>
      <w:r>
        <w:rPr>
          <w:rFonts w:ascii="Times New Roman" w:hAnsi="Times New Roman"/>
          <w:sz w:val="20"/>
        </w:rPr>
        <w:t xml:space="preserve"> </w:t>
      </w:r>
    </w:p>
    <w:p>
      <w:pPr>
        <w:pStyle w:val="TextBody"/>
        <w:bidi w:val="0"/>
        <w:spacing w:before="0" w:after="0"/>
        <w:jc w:val="left"/>
        <w:rPr/>
      </w:pPr>
      <w:r>
        <w:rPr/>
        <w:t> </w:t>
      </w:r>
    </w:p>
    <w:tbl>
      <w:tblPr>
        <w:tblW w:w="8266" w:type="dxa"/>
        <w:jc w:val="left"/>
        <w:tblInd w:w="0" w:type="dxa"/>
        <w:tblLayout w:type="fixed"/>
        <w:tblCellMar>
          <w:top w:w="28" w:type="dxa"/>
          <w:left w:w="28" w:type="dxa"/>
          <w:bottom w:w="28" w:type="dxa"/>
          <w:right w:w="28" w:type="dxa"/>
        </w:tblCellMar>
      </w:tblPr>
      <w:tblGrid>
        <w:gridCol w:w="4186"/>
        <w:gridCol w:w="146"/>
        <w:gridCol w:w="231"/>
        <w:gridCol w:w="741"/>
        <w:gridCol w:w="160"/>
        <w:gridCol w:w="160"/>
        <w:gridCol w:w="231"/>
        <w:gridCol w:w="741"/>
        <w:gridCol w:w="146"/>
        <w:gridCol w:w="146"/>
        <w:gridCol w:w="211"/>
        <w:gridCol w:w="676"/>
        <w:gridCol w:w="4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3"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91" w:type="dxa"/>
            <w:tcBorders/>
            <w:vAlign w:val="center"/>
          </w:tcPr>
          <w:p>
            <w:pPr>
              <w:pStyle w:val="TableContents"/>
              <w:bidi w:val="0"/>
              <w:spacing w:before="0" w:after="0"/>
              <w:ind w:left="0" w:right="0" w:firstLine="100"/>
              <w:jc w:val="center"/>
              <w:rPr/>
            </w:pPr>
            <w:r>
              <w:rPr/>
              <w:t> </w:t>
            </w:r>
          </w:p>
        </w:tc>
      </w:tr>
      <w:tr>
        <w:trPr/>
        <w:tc>
          <w:tcPr>
            <w:tcW w:w="41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 xml:space="preserve">Personnel related (including stock-based </w:t>
              <w:br/>
              <w:t>   compensation expense)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16,476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7,267</w:t>
            </w:r>
          </w:p>
        </w:tc>
        <w:tc>
          <w:tcPr>
            <w:tcW w:w="491" w:type="dxa"/>
            <w:tcBorders/>
            <w:vAlign w:val="center"/>
          </w:tcPr>
          <w:p>
            <w:pPr>
              <w:pStyle w:val="TableContents"/>
              <w:bidi w:val="0"/>
              <w:spacing w:before="0" w:after="0"/>
              <w:ind w:left="0" w:right="0" w:firstLine="100"/>
              <w:jc w:val="left"/>
              <w:rPr/>
            </w:pPr>
            <w:r>
              <w:rPr/>
              <w:t> </w:t>
            </w:r>
          </w:p>
        </w:tc>
      </w:tr>
      <w:tr>
        <w:trPr/>
        <w:tc>
          <w:tcPr>
            <w:tcW w:w="41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Logistics and other</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2,542</w:t>
            </w:r>
          </w:p>
        </w:tc>
        <w:tc>
          <w:tcPr>
            <w:tcW w:w="491" w:type="dxa"/>
            <w:tcBorders/>
            <w:vAlign w:val="center"/>
          </w:tcPr>
          <w:p>
            <w:pPr>
              <w:pStyle w:val="TableContents"/>
              <w:bidi w:val="0"/>
              <w:spacing w:before="0" w:after="0"/>
              <w:ind w:left="0" w:right="0" w:firstLine="100"/>
              <w:jc w:val="left"/>
              <w:rPr/>
            </w:pPr>
            <w:r>
              <w:rPr/>
              <w:t> </w:t>
            </w:r>
          </w:p>
        </w:tc>
      </w:tr>
      <w:tr>
        <w:trPr/>
        <w:tc>
          <w:tcPr>
            <w:tcW w:w="41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Professional and consultant fees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1,935</w:t>
            </w:r>
          </w:p>
        </w:tc>
        <w:tc>
          <w:tcPr>
            <w:tcW w:w="491" w:type="dxa"/>
            <w:tcBorders/>
            <w:vAlign w:val="center"/>
          </w:tcPr>
          <w:p>
            <w:pPr>
              <w:pStyle w:val="TableContents"/>
              <w:bidi w:val="0"/>
              <w:spacing w:before="0" w:after="0"/>
              <w:ind w:left="0" w:right="0" w:firstLine="100"/>
              <w:jc w:val="left"/>
              <w:rPr/>
            </w:pPr>
            <w:r>
              <w:rPr/>
              <w:t> </w:t>
            </w:r>
          </w:p>
        </w:tc>
      </w:tr>
      <w:tr>
        <w:trPr/>
        <w:tc>
          <w:tcPr>
            <w:tcW w:w="41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Tradeshows and conferences</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18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29,356</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11,975</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Total selling, general and administrative expenses increased by $12.0 million from $17.4 million in the three months ended June 30, 2022 to $29.4 million in the three months ended June 30, 2023 due to increases in personnel related costs, logistics and other costs, and professional and consultant fees. Personnel related costs increased by $7.3 million primarily due to the continued expansion of our team to support the growth in our business, as well as an increase in stock-based compensation expense of $2.2 million, due primarily to additional grants to new and existing employees. Logistics and other costs increased by $2.5 million due to increased logistics costs related to the NOP. Professional and consultant fees increased by $1.9 million due to additional investment in digital tools to support the NOP along with higher legal fees related to the business growth.</w:t>
      </w:r>
    </w:p>
    <w:p>
      <w:pPr>
        <w:pStyle w:val="TextBody"/>
        <w:bidi w:val="0"/>
        <w:spacing w:before="240" w:after="0"/>
        <w:jc w:val="left"/>
        <w:rPr>
          <w:rFonts w:ascii="Times New Roman" w:hAnsi="Times New Roman"/>
          <w:sz w:val="20"/>
        </w:rPr>
      </w:pPr>
      <w:r>
        <w:rPr>
          <w:rFonts w:ascii="Times New Roman;serif" w:hAnsi="Times New Roman;serif"/>
          <w:b/>
          <w:i/>
          <w:sz w:val="20"/>
        </w:rPr>
        <w:t>Other Income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expense was $2.5 million and $1.0 million for the three months ended June 30, 2023 and 2022, respectively. The increase was due primarily to interest expense on the $460.0 million principal amount of the Notes, which were issued in May 2023. Interest expense also increased due to an increase in the principal amount of the CIBC loan outstanding compared to the principal that had been outstanding under our prior credit agreement with OrbiMed, partially offset by a lower interest rate for our indebtedness under the CIBC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(expense), net for the three months ended June 30, 2023 and 2022 included interest income of $2.4 million and less than $0.1 million, respectively, from interest earned on invested cash balances. Other income (expense), net also included less than $0.1 million of realized and unrealized foreign currency transactions gains and $0.8 million of realized and unrealized foreign currency transactions losses during the three months ended June 30, 2023 and 2022,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Six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six months ended June 30, 2023 and 2022:</w:t>
      </w:r>
    </w:p>
    <w:p>
      <w:pPr>
        <w:pStyle w:val="TextBody"/>
        <w:bidi w:val="0"/>
        <w:spacing w:before="0" w:after="0"/>
        <w:jc w:val="left"/>
        <w:rPr/>
      </w:pPr>
      <w:r>
        <w:rPr/>
        <w:t> </w:t>
      </w:r>
    </w:p>
    <w:tbl>
      <w:tblPr>
        <w:tblW w:w="7548" w:type="dxa"/>
        <w:jc w:val="left"/>
        <w:tblInd w:w="0" w:type="dxa"/>
        <w:tblLayout w:type="fixed"/>
        <w:tblCellMar>
          <w:top w:w="28" w:type="dxa"/>
          <w:left w:w="28" w:type="dxa"/>
          <w:bottom w:w="28" w:type="dxa"/>
          <w:right w:w="28" w:type="dxa"/>
        </w:tblCellMar>
      </w:tblPr>
      <w:tblGrid>
        <w:gridCol w:w="3466"/>
        <w:gridCol w:w="146"/>
        <w:gridCol w:w="211"/>
        <w:gridCol w:w="676"/>
        <w:gridCol w:w="166"/>
        <w:gridCol w:w="146"/>
        <w:gridCol w:w="211"/>
        <w:gridCol w:w="736"/>
        <w:gridCol w:w="166"/>
        <w:gridCol w:w="146"/>
        <w:gridCol w:w="211"/>
        <w:gridCol w:w="676"/>
        <w:gridCol w:w="5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5"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firstLine="100"/>
              <w:jc w:val="center"/>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product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43,594</w:t>
            </w:r>
          </w:p>
        </w:tc>
        <w:tc>
          <w:tcPr>
            <w:tcW w:w="591" w:type="dxa"/>
            <w:tcBorders/>
            <w:vAlign w:val="center"/>
          </w:tcPr>
          <w:p>
            <w:pPr>
              <w:pStyle w:val="TableContents"/>
              <w:bidi w:val="0"/>
              <w:spacing w:before="0" w:after="0"/>
              <w:ind w:left="0" w:right="0" w:firstLine="100"/>
              <w:jc w:val="left"/>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57,618</w:t>
            </w:r>
          </w:p>
        </w:tc>
        <w:tc>
          <w:tcPr>
            <w:tcW w:w="5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100"/>
              <w:jc w:val="right"/>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Cost of net product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8,406</w:t>
            </w:r>
          </w:p>
        </w:tc>
        <w:tc>
          <w:tcPr>
            <w:tcW w:w="591" w:type="dxa"/>
            <w:tcBorders/>
            <w:vAlign w:val="center"/>
          </w:tcPr>
          <w:p>
            <w:pPr>
              <w:pStyle w:val="TableContents"/>
              <w:bidi w:val="0"/>
              <w:spacing w:before="0" w:after="0"/>
              <w:ind w:left="0" w:right="0" w:firstLine="100"/>
              <w:jc w:val="left"/>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4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39,053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100"/>
              <w:jc w:val="left"/>
              <w:rPr/>
            </w:pPr>
            <w:r>
              <w:rPr/>
              <w:t> </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development and clinical trials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5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22,934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16,119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(1,664</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4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18,452</w:t>
            </w:r>
          </w:p>
        </w:tc>
        <w:tc>
          <w:tcPr>
            <w:tcW w:w="5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18,448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0" w:after="0"/>
        <w:jc w:val="left"/>
        <w:rPr/>
      </w:pPr>
      <w:r>
        <w:rPr/>
        <w:t> </w:t>
      </w:r>
    </w:p>
    <w:tbl>
      <w:tblPr>
        <w:tblW w:w="6745" w:type="dxa"/>
        <w:jc w:val="left"/>
        <w:tblInd w:w="0" w:type="dxa"/>
        <w:tblLayout w:type="fixed"/>
        <w:tblCellMar>
          <w:top w:w="28" w:type="dxa"/>
          <w:left w:w="28" w:type="dxa"/>
          <w:bottom w:w="28" w:type="dxa"/>
          <w:right w:w="28" w:type="dxa"/>
        </w:tblCellMar>
      </w:tblPr>
      <w:tblGrid>
        <w:gridCol w:w="2761"/>
        <w:gridCol w:w="146"/>
        <w:gridCol w:w="211"/>
        <w:gridCol w:w="677"/>
        <w:gridCol w:w="146"/>
        <w:gridCol w:w="146"/>
        <w:gridCol w:w="211"/>
        <w:gridCol w:w="677"/>
        <w:gridCol w:w="146"/>
        <w:gridCol w:w="146"/>
        <w:gridCol w:w="211"/>
        <w:gridCol w:w="676"/>
        <w:gridCol w:w="5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7"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by country by organ:</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firstLine="100"/>
              <w:jc w:val="center"/>
              <w:rPr/>
            </w:pPr>
            <w:r>
              <w:rPr/>
              <w:t> </w:t>
            </w:r>
          </w:p>
        </w:tc>
      </w:tr>
      <w:tr>
        <w:trPr/>
        <w:tc>
          <w:tcPr>
            <w:tcW w:w="276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Lung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Heart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16,795</w:t>
            </w:r>
          </w:p>
        </w:tc>
        <w:tc>
          <w:tcPr>
            <w:tcW w:w="5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Liver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38,301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7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United States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54,749</w:t>
            </w:r>
          </w:p>
        </w:tc>
        <w:tc>
          <w:tcPr>
            <w:tcW w:w="591" w:type="dxa"/>
            <w:tcBorders/>
            <w:vAlign w:val="center"/>
          </w:tcPr>
          <w:p>
            <w:pPr>
              <w:pStyle w:val="TableContents"/>
              <w:bidi w:val="0"/>
              <w:spacing w:before="0" w:after="0"/>
              <w:ind w:left="0" w:right="0" w:firstLine="100"/>
              <w:jc w:val="left"/>
              <w:rPr/>
            </w:pPr>
            <w:r>
              <w:rPr/>
              <w:t> </w:t>
            </w:r>
          </w:p>
        </w:tc>
      </w:tr>
      <w:tr>
        <w:trPr/>
        <w:tc>
          <w:tcPr>
            <w:tcW w:w="276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All other countries</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Lung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5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Heart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2,750</w:t>
            </w:r>
          </w:p>
        </w:tc>
        <w:tc>
          <w:tcPr>
            <w:tcW w:w="5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Liver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7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all other countries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57,618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Revenue from customers in the United States was $86.4 million in the six months ended June 30, 2023 and increased by $54.7 million compared to the six months ended June 30, 2022, primarily due to higher sales volumes of our OCS Liver and OCS Heart disposable sets. Revenue for each organ in the table above includes net product revenue from sales of disposable sets as well as service revenue for organ retrieval and OCS organ management services under the NOP in the United States. Revenue from customers who participated in our NOP accounted for approximately 95% and 81% of total revenue from customers in the United States for the six months ended June 30, 2023 and 2022, respectively. Revenue from sales of OCS Liver disposable sets and organ retrieval and OCS organ management services in the United States increased by $38.3 million due primarily to higher sales volumes of OCS Liver disposable sets resulting from the commercialization of the OCS Liver product and the expansion and increased utilization of our NOP. Revenue from sales of OCS Heart disposable sets and organ retrieval and OCS organ management services in the United States increased by $16.8 million also primarily as a result of the commercialization of the OCS Heart product as well as the expansion and increased utilization of the NOP.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Revenue from customers outside the United States was $7.6 million in the six months ended June 30, 2023 and increased by $2.9 million compared to the six months ended June 30, 2022. Revenue outside of the United States increased for the six months ended June 30, 2023 compared to the six months ended June 30, 2022 due primarily to increased sales volume of OCS Heart disposable 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Cost of Revenue, Gross Profit and Gross Margin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 of net product revenue increased by $8.4 million in the six months ended June 30, 2023 compared to the six months ended June 30, 2022. Cost of service revenue increased by $10.2 million from $2.5 million in the six months ended June 30, 2022 to $12.6 million in the six months ended June 30, 2023 as we expanded and increased utilization of the NOP, which launched in late 2021. Gross profit increased by $39.1 million in the six months ended June 30, 2023 compared to the six months ended June 30,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margin from net product revenue was 79% and 77% for the six months ended June 30, 2023 and 2022, respectively. Gross margin from net product revenue increased primarily as a result of economies of scale from higher sales volumes and increased U.S. sales, which are higher margin than non-US sales. Gross margin from service revenue was 28% and 30% for the six months ended June 30, 2023 and 2022, respectively, and consisted primarily of organ retrieval and OCS organ management services under our NOP. Service revenue gross margin during the six months ended June 30, 2022 included our initial launch of the NOP program and did not include a full period of our NOP service offering.</w:t>
      </w:r>
    </w:p>
    <w:p>
      <w:pPr>
        <w:pStyle w:val="TextBody"/>
        <w:bidi w:val="0"/>
        <w:spacing w:before="24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Development and Clinical Trials Expenses</w:t>
      </w:r>
      <w:r>
        <w:rPr>
          <w:rFonts w:ascii="Times New Roman" w:hAnsi="Times New Roman"/>
          <w:sz w:val="20"/>
        </w:rPr>
        <w:t xml:space="preserve"> </w:t>
      </w:r>
    </w:p>
    <w:p>
      <w:pPr>
        <w:pStyle w:val="TextBody"/>
        <w:bidi w:val="0"/>
        <w:spacing w:before="120" w:after="0"/>
        <w:jc w:val="left"/>
        <w:rPr/>
      </w:pPr>
      <w:r>
        <w:rPr/>
        <w:t> </w:t>
      </w:r>
    </w:p>
    <w:tbl>
      <w:tblPr>
        <w:tblW w:w="7755" w:type="dxa"/>
        <w:jc w:val="left"/>
        <w:tblInd w:w="0" w:type="dxa"/>
        <w:tblLayout w:type="fixed"/>
        <w:tblCellMar>
          <w:top w:w="28" w:type="dxa"/>
          <w:left w:w="28" w:type="dxa"/>
          <w:bottom w:w="28" w:type="dxa"/>
          <w:right w:w="28" w:type="dxa"/>
        </w:tblCellMar>
      </w:tblPr>
      <w:tblGrid>
        <w:gridCol w:w="3916"/>
        <w:gridCol w:w="146"/>
        <w:gridCol w:w="211"/>
        <w:gridCol w:w="677"/>
        <w:gridCol w:w="146"/>
        <w:gridCol w:w="146"/>
        <w:gridCol w:w="211"/>
        <w:gridCol w:w="677"/>
        <w:gridCol w:w="146"/>
        <w:gridCol w:w="146"/>
        <w:gridCol w:w="211"/>
        <w:gridCol w:w="631"/>
        <w:gridCol w:w="4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2"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91" w:type="dxa"/>
            <w:tcBorders/>
            <w:vAlign w:val="center"/>
          </w:tcPr>
          <w:p>
            <w:pPr>
              <w:pStyle w:val="TableContents"/>
              <w:bidi w:val="0"/>
              <w:spacing w:before="0" w:after="0"/>
              <w:ind w:left="0" w:right="0" w:firstLine="100"/>
              <w:jc w:val="center"/>
              <w:rPr/>
            </w:pPr>
            <w:r>
              <w:rPr/>
              <w:t> </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 xml:space="preserve">Personnel related (including stock-based </w:t>
              <w:br/>
              <w:t>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w:t>
            </w:r>
          </w:p>
        </w:tc>
        <w:tc>
          <w:tcPr>
            <w:tcW w:w="491" w:type="dxa"/>
            <w:tcBorders/>
            <w:vAlign w:val="center"/>
          </w:tcPr>
          <w:p>
            <w:pPr>
              <w:pStyle w:val="TableContents"/>
              <w:bidi w:val="0"/>
              <w:spacing w:before="0" w:after="0"/>
              <w:ind w:left="0" w:right="0" w:firstLine="100"/>
              <w:jc w:val="left"/>
              <w:rPr/>
            </w:pPr>
            <w:r>
              <w:rPr/>
              <w:t> </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Consulting and third-party testing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w:t>
            </w:r>
          </w:p>
        </w:tc>
        <w:tc>
          <w:tcPr>
            <w:tcW w:w="4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Laboratory supplies and research materials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4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Clinical trials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4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9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 xml:space="preserve">Total research, development and clinical trials </w:t>
              <w:br/>
              <w: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Total research, development and clinical trials expenses were relatively flat for the six months ended June 30, 2023 as compared to the six months ended June 30, 2022. Personnel related costs increased by $1.7 million due primarily to increased headcount to support development efforts for our next generation OCS program and overall compensation increases. Personnel related costs included stock based compensation expense of $1.2 million and $0.7 million for the six months ended June 30, 2023 and 2022, respectively. Consulting and third-party testing costs decreased by $1.6 million, due to timing of development efforts for our next generation OCS program by our external development consultants.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Selling, General and Administrative Expenses</w:t>
      </w:r>
      <w:r>
        <w:rPr>
          <w:rFonts w:ascii="Times New Roman" w:hAnsi="Times New Roman"/>
          <w:sz w:val="20"/>
        </w:rPr>
        <w:t xml:space="preserve"> </w:t>
      </w:r>
    </w:p>
    <w:p>
      <w:pPr>
        <w:pStyle w:val="TextBody"/>
        <w:bidi w:val="0"/>
        <w:spacing w:before="0" w:after="0"/>
        <w:jc w:val="left"/>
        <w:rPr/>
      </w:pPr>
      <w:r>
        <w:rPr/>
        <w:t> </w:t>
      </w:r>
    </w:p>
    <w:tbl>
      <w:tblPr>
        <w:tblW w:w="8070" w:type="dxa"/>
        <w:jc w:val="left"/>
        <w:tblInd w:w="0" w:type="dxa"/>
        <w:tblLayout w:type="fixed"/>
        <w:tblCellMar>
          <w:top w:w="28" w:type="dxa"/>
          <w:left w:w="28" w:type="dxa"/>
          <w:bottom w:w="28" w:type="dxa"/>
          <w:right w:w="28" w:type="dxa"/>
        </w:tblCellMar>
      </w:tblPr>
      <w:tblGrid>
        <w:gridCol w:w="4186"/>
        <w:gridCol w:w="146"/>
        <w:gridCol w:w="211"/>
        <w:gridCol w:w="677"/>
        <w:gridCol w:w="146"/>
        <w:gridCol w:w="146"/>
        <w:gridCol w:w="211"/>
        <w:gridCol w:w="677"/>
        <w:gridCol w:w="146"/>
        <w:gridCol w:w="146"/>
        <w:gridCol w:w="211"/>
        <w:gridCol w:w="676"/>
        <w:gridCol w:w="4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7"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91" w:type="dxa"/>
            <w:tcBorders/>
            <w:vAlign w:val="center"/>
          </w:tcPr>
          <w:p>
            <w:pPr>
              <w:pStyle w:val="TableContents"/>
              <w:bidi w:val="0"/>
              <w:spacing w:before="0" w:after="0"/>
              <w:ind w:left="0" w:right="0" w:firstLine="100"/>
              <w:jc w:val="center"/>
              <w:rPr/>
            </w:pPr>
            <w:r>
              <w:rPr/>
              <w:t> </w:t>
            </w:r>
          </w:p>
        </w:tc>
      </w:tr>
      <w:tr>
        <w:trPr/>
        <w:tc>
          <w:tcPr>
            <w:tcW w:w="41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 xml:space="preserve">Personnel related (including stock-based </w:t>
              <w:br/>
              <w:t>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12,677</w:t>
            </w:r>
          </w:p>
        </w:tc>
        <w:tc>
          <w:tcPr>
            <w:tcW w:w="491" w:type="dxa"/>
            <w:tcBorders/>
            <w:vAlign w:val="center"/>
          </w:tcPr>
          <w:p>
            <w:pPr>
              <w:pStyle w:val="TableContents"/>
              <w:bidi w:val="0"/>
              <w:spacing w:before="0" w:after="0"/>
              <w:ind w:left="0" w:right="0" w:firstLine="100"/>
              <w:jc w:val="left"/>
              <w:rPr/>
            </w:pPr>
            <w:r>
              <w:rPr/>
              <w:t> </w:t>
            </w:r>
          </w:p>
        </w:tc>
      </w:tr>
      <w:tr>
        <w:trPr/>
        <w:tc>
          <w:tcPr>
            <w:tcW w:w="41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Logistics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6,185</w:t>
            </w:r>
          </w:p>
        </w:tc>
        <w:tc>
          <w:tcPr>
            <w:tcW w:w="491" w:type="dxa"/>
            <w:tcBorders/>
            <w:vAlign w:val="center"/>
          </w:tcPr>
          <w:p>
            <w:pPr>
              <w:pStyle w:val="TableContents"/>
              <w:bidi w:val="0"/>
              <w:spacing w:before="0" w:after="0"/>
              <w:ind w:left="0" w:right="0" w:firstLine="100"/>
              <w:jc w:val="left"/>
              <w:rPr/>
            </w:pPr>
            <w:r>
              <w:rPr/>
              <w:t> </w:t>
            </w:r>
          </w:p>
        </w:tc>
      </w:tr>
      <w:tr>
        <w:trPr/>
        <w:tc>
          <w:tcPr>
            <w:tcW w:w="41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Professional and consultant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3,046</w:t>
            </w:r>
          </w:p>
        </w:tc>
        <w:tc>
          <w:tcPr>
            <w:tcW w:w="491" w:type="dxa"/>
            <w:tcBorders/>
            <w:vAlign w:val="center"/>
          </w:tcPr>
          <w:p>
            <w:pPr>
              <w:pStyle w:val="TableContents"/>
              <w:bidi w:val="0"/>
              <w:spacing w:before="0" w:after="0"/>
              <w:ind w:left="0" w:right="0" w:firstLine="100"/>
              <w:jc w:val="left"/>
              <w:rPr/>
            </w:pPr>
            <w:r>
              <w:rPr/>
              <w:t> </w:t>
            </w:r>
          </w:p>
        </w:tc>
      </w:tr>
      <w:tr>
        <w:trPr/>
        <w:tc>
          <w:tcPr>
            <w:tcW w:w="41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Tradeshows and conferences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18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23,020</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Total selling, general and administrative expenses increased by $23.0 million from $31.3 million in the six months ended June 30, 2022 to $54.3 million in the six months ended June 30, 2023 due to increases in personnel related costs, logistics and other costs, professional and consultant fees and tradeshow and conferences costs. Personnel related costs increased by $12.7 million primarily due to the continued expansion of our team to support the growth in our business, as well as an increase in stock-based compensation expense of $3.6 million, due primarily to additional grants to new and existing employees. Logistics and other costs increased by $6.2 million due to increased logistics costs related to the expansion of our NOP. Professional and consultant fees increased by $3.0 million due to additional investment in digital tools to support the NOP along with higher legal fees related to the business growth.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Other Income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was $3.6 million and $1.9 million for the six months ended June 30, 2023 and 2022, respectively. The increase was due primarily to interest expense for our $460.0 million principal amount of the Notes, which were issued in May 2023. Interest expense also increased due to an increase in the principal amount of the CIBC loan outstanding compared to the principal that had been outstanding under our prior credit agreement with OrbiMed, partially offset by a lower interest rate for our indebtedness under the CIBC Credit Agreement.</w:t>
      </w:r>
    </w:p>
    <w:p>
      <w:pPr>
        <w:pStyle w:val="TextBody"/>
        <w:bidi w:val="0"/>
        <w:spacing w:before="24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(expense), net for the six months ended June 30, 2023 and 2022 included interest income of $2.9 million and less than $0.1 million, respectively, from interest earned on invested cash balances. Other income (expense), net also included $0.1 million of realized and unrealized foreign currency transactions gains and $1.1 million of realized and unrealized foreign currency transactions losses during the six months ended June 30, 2023 and 2022,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incurred significant operating losses. To date, we have funded our operations primarily with proceeds from borrowings under loan agreements, proceeds from the issuance of our convertible senior notes, proceeds from the sale of common stock in our public offerings and revenue from clinical trials and commercial sales of our OCS products and NOP services. On May 11, 2023, we issued $460.0 million aggregate principal amount of the Notes, in a private placement to qualified institutional buyers pursuant to Rule 144A under the Securities Act. The total net proceeds from the sale of the Notes, after deducting debt issuance costs of $14.6 million, and purchases of Capped Calls of $52.1 million, were $393.3 million. At June 30, 2023, our principal source of liquidity was cash of $582.2 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our sources and uses of cash for each of the periods presented:</w:t>
      </w:r>
      <w:r>
        <w:rPr>
          <w:rFonts w:ascii="Times New Roman" w:hAnsi="Times New Roman"/>
          <w:sz w:val="20"/>
        </w:rPr>
        <w:t xml:space="preserve"> </w:t>
      </w:r>
    </w:p>
    <w:p>
      <w:pPr>
        <w:pStyle w:val="TextBody"/>
        <w:bidi w:val="0"/>
        <w:spacing w:before="0" w:after="0"/>
        <w:jc w:val="left"/>
        <w:rPr/>
      </w:pPr>
      <w:r>
        <w:rPr/>
        <w:t> </w:t>
      </w:r>
    </w:p>
    <w:tbl>
      <w:tblPr>
        <w:tblW w:w="8084" w:type="dxa"/>
        <w:jc w:val="left"/>
        <w:tblInd w:w="0" w:type="dxa"/>
        <w:tblLayout w:type="fixed"/>
        <w:tblCellMar>
          <w:top w:w="28" w:type="dxa"/>
          <w:left w:w="28" w:type="dxa"/>
          <w:bottom w:w="28" w:type="dxa"/>
          <w:right w:w="28" w:type="dxa"/>
        </w:tblCellMar>
      </w:tblPr>
      <w:tblGrid>
        <w:gridCol w:w="5176"/>
        <w:gridCol w:w="146"/>
        <w:gridCol w:w="211"/>
        <w:gridCol w:w="781"/>
        <w:gridCol w:w="166"/>
        <w:gridCol w:w="146"/>
        <w:gridCol w:w="211"/>
        <w:gridCol w:w="736"/>
        <w:gridCol w:w="51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1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11" w:type="dxa"/>
            <w:tcBorders/>
            <w:vAlign w:val="center"/>
          </w:tcPr>
          <w:p>
            <w:pPr>
              <w:pStyle w:val="TableContents"/>
              <w:bidi w:val="0"/>
              <w:spacing w:before="0" w:after="0"/>
              <w:ind w:left="0" w:right="0" w:firstLine="100"/>
              <w:jc w:val="center"/>
              <w:rPr/>
            </w:pPr>
            <w:r>
              <w:rPr/>
              <w:t> </w:t>
            </w:r>
          </w:p>
        </w:tc>
      </w:tr>
      <w:tr>
        <w:trPr/>
        <w:tc>
          <w:tcPr>
            <w:tcW w:w="51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(27,500</w:t>
            </w:r>
          </w:p>
        </w:tc>
        <w:tc>
          <w:tcPr>
            <w:tcW w:w="5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32,529</w:t>
            </w:r>
          </w:p>
        </w:tc>
        <w:tc>
          <w:tcPr>
            <w:tcW w:w="511" w:type="dxa"/>
            <w:tcBorders/>
            <w:vAlign w:val="center"/>
          </w:tcPr>
          <w:p>
            <w:pPr>
              <w:pStyle w:val="TableContents"/>
              <w:bidi w:val="0"/>
              <w:spacing w:before="0" w:after="0"/>
              <w:ind w:left="0" w:right="0" w:firstLine="100"/>
              <w:jc w:val="left"/>
              <w:rPr/>
            </w:pPr>
            <w:r>
              <w:rPr/>
              <w:t> </w:t>
            </w:r>
          </w:p>
        </w:tc>
      </w:tr>
      <w:tr>
        <w:trPr/>
        <w:tc>
          <w:tcPr>
            <w:tcW w:w="51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397,971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642</w:t>
            </w:r>
          </w:p>
        </w:tc>
        <w:tc>
          <w:tcPr>
            <w:tcW w:w="511" w:type="dxa"/>
            <w:tcBorders/>
            <w:vAlign w:val="center"/>
          </w:tcPr>
          <w:p>
            <w:pPr>
              <w:pStyle w:val="TableContents"/>
              <w:bidi w:val="0"/>
              <w:spacing w:before="0" w:after="0"/>
              <w:ind w:left="0" w:right="0" w:firstLine="100"/>
              <w:jc w:val="left"/>
              <w:rPr/>
            </w:pPr>
            <w:r>
              <w:rPr/>
              <w:t> </w:t>
            </w:r>
          </w:p>
        </w:tc>
      </w:tr>
      <w:tr>
        <w:trPr/>
        <w:tc>
          <w:tcPr>
            <w:tcW w:w="51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 xml:space="preserve">Effect of exchange rate changes on cash, cash equivalents and </w:t>
              <w:br/>
              <w:t>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517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Net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381,278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4,806</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operating activities used $14.5 million of cash, primarily resulting from our net loss of $3.6 million and net cash used by changes in our operating assets and liabilities of $23.3 million, partially offset by net non-cash charges of $12.4 million. Net cash used by changes in our operating assets and liabilities for the six months ended June 30, 2023 consisted primarily of an increase in accounts receivable of $19.9 million and an increase in inventory of $11.0 million, partially offset by an increase in accounts payable and accrued expenses and other current liabilities of $7.9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operating activities used $27.5 million of cash, primarily resulting from our net loss of $22.1 million and net cash used by changes in our operating assets and liabilities of $13.4 million, partially offset by net non-cash charges of $8.0 million. Net cash used by changes in our operating assets and liabilities for the six months ended June 30, 2022 consisted primarily of an increase in accounts receivable of $7.1 million, an increase in inventory of $4.2 million, an increase in prepaid expenses of $1.2 million, and a decrease in accounts payable and accrued expenses and other liabilities of $1.9 million, partially offset by an increase in operating lease liabilities of $0.9 million.</w:t>
      </w:r>
    </w:p>
    <w:p>
      <w:pPr>
        <w:pStyle w:val="TextBody"/>
        <w:bidi w:val="0"/>
        <w:spacing w:before="24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net cash used by investing activities of $2.3 million consisted of purchases of property and equipment.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net cash provided by investing activities of $32.5 million consisted of proceeds from sales and maturities of marketable securities of $48.3 million, partially offset by purchases of marketable securities of $9.5 million and purchases of property and equipment of $6.2 million.</w:t>
      </w:r>
    </w:p>
    <w:p>
      <w:pPr>
        <w:pStyle w:val="TextBody"/>
        <w:bidi w:val="0"/>
        <w:spacing w:before="24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net cash provided by financing activities of $398.0 million consisted of net proceeds from the issuance of our Notes of $445.4 million, partially offset by payments of $52.1 million for associated capped calls, proceeds from the issuance of common stock upon exercise of stock options of $4.3 million and proceeds from the issuance of common stock in connection with the 2019 Employee Stock Purchase Plan of $0.4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net cash provided by financing activities of $0.6 million consisted of proceeds from the issuance of common stock upon exercise of stock options of $0.4 million and proceeds from the issuance of common stock in connection with the 2019 Employee Stock Purchase Plan of $0.2 million.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Convertible Senior Notes</w:t>
      </w:r>
    </w:p>
    <w:p>
      <w:pPr>
        <w:pStyle w:val="TextBody"/>
        <w:bidi w:val="0"/>
        <w:spacing w:before="120" w:after="0"/>
        <w:jc w:val="left"/>
        <w:rPr>
          <w:rFonts w:ascii="Times New Roman" w:hAnsi="Times New Roman"/>
          <w:sz w:val="20"/>
        </w:rPr>
      </w:pPr>
      <w:r>
        <w:rPr>
          <w:rFonts w:ascii="Times New Roman;serif" w:hAnsi="Times New Roman;serif"/>
          <w:b w:val="false"/>
          <w:sz w:val="20"/>
        </w:rPr>
        <w:t>On May 11, 2023, we issued $460.0 million aggregate principal amount of the Notes, in a private placement to qualified institutional buyers pursuant to Rule 144A under the Securities Act, pursuant to an indenture dated May 11, 2023, by and between us and U.S. Bank Trust Company, National Association, or the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initial conversion price of the Notes is approximately $94.00 per share of common stock, which represents a premium of approximately 32.5% over the closing price of our common stock on May 8, 2023. The Notes will mature on June 1, 2028, unless earlier repurchased, redeemed or converted. We used $52.1 million of the proceeds from the sale of the Notes to fund the cost of entering into capped call transactions, described below. The proceeds from the issuance of the Notes were approximately $393.3 million, net of capped call transaction costs of $52.1 million and initial purchaser discounts and other debt issuance costs totaling $14.6 million. The Notes bear interest at a rate of 1.50% per year and interest is payable semiannually in arrears on June 1 and December 1 of each year, beginning on December 1, 2023. The initial conversion rate is 10.6388 shares of common stock per $1,000 principal amount of the Notes, which represents an initial conversion price of approximately $94.00 per share of common stock. The conversion rate and conversion price are subject to customary adjustments upon the occurrence of certain events as described in the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Before March 1, 2028, noteholders have the right to convert their Notes only upon the occurrence of certain events, including certain corporate events, and during the five business days immediately after any ten consecutive trading days in which the trading price per $1,000 principal amount of Notes is less than ninety eight percent (98%) of the as converted value. Additionally, the noteholder can convert their Notes during any calendar quarter (and only during such calendar quarter), commencing after the calendar quarter ending on September 30, 2023 but before March 1, 2028, provided the last reported sale price of the common stock for at least 20 trading days is greater than or equal to 130% of the conversion price during the 30 consecutive trading days ending on the last trading day of a calendar quarter. From and after March 1, 2028, noteholders may convert their Notes at any time at their election until the close of business on the second scheduled trading day immediately before the maturity date. We have the right to elect to settle conversions either in cash, shares or in a combination of cash and shares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Prior to June 8, 2026, the Notes will not be redeemable. On or after June 8, 2026, we may redeem for cash all or any portion of the Notes (subject to the partial redemption limitation set forth in the Indenture), at our option,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Long-Term Debt</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2022, we entered into a credit agreement with CIBC as amended by the First Amendment to Credit Agreement, dated as of May 8, 2023, by and among the Company and CIBC, or the First Amendment, and the Second Amendment to Credit Agreement, dated as of June 23, 2023, by and among the Company and CIBC, or the Second Amendment, pursuant to which we borrowed $60.0 million, referred to herein as the CIBC Credit Agreement. We used proceeds of the CIBC Credit Agreement to repay all amounts due under our credit agreement with OrbiMed, which was entered into in June 2018.</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8, 2023, we entered into the First Amendment, which among other items, allowed for the issuance of the Notes and capped call transactions. On June 23, 2023, we entered into the Second Amendment, which among other items, permits us to make acquisitions of equity or assets of another entity, subject to the conditions under the Second Amendment, including acquisitions, without further consent of CIBC, up to a maximum amount of $50.0 million for the cash payable in connection with an individual acquisition and a maximum amount in aggregate of $150.0 million for the total cash consideration payable for all acquisitions made by the Company on or after June 23, 2023. The definition of consolidated adjusted EBITDA was also amended to add a provision for the pro forma effect of any acquisitions that occur during the period. Additionally, pursuant to the Second Amendment, we and CIBC agreed to extend the start of the principal repayment period to July 31, 2026, on which date we are obligated to begin repayment of the term loans in equal monthly installments until the maturity date in July 2027.</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Borrowings under the CIBC Credit Agreement bear interest at an annual rate equal to either, at our option, (i) the secured overnight financing rate for an interest period selected by us, subject to a minimum of 1.50%, plus 2.0% or (ii) 1.0% plus the higher of a) the prime rate, subject to a minimum of 4.0% or b) the Federal Funds Effective Rate, plus 0.5%. At our option, we may prepay borrowings outstanding under the CIBC Credit Agreement, subject to a prepayment fee of 2.0% of outstanding borrowings if paid prior to 12 months after the closing date, and 1.0% if paid after 12 months but prior to 24 months after the closing date.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All obligations under the CIBC Credit Agreement are guaranteed by us and each of our material subsidiaries. All obligations of us and each guarantor are secured by substantially all of our and each guarantor’s assets, including their intellectual property, subject to certain exceptions. Under the CIBC Credit Agreement, we have agreed to</w:t>
      </w:r>
      <w:r>
        <w:rPr>
          <w:rFonts w:ascii="Times New Roman" w:hAnsi="Times New Roman"/>
          <w:sz w:val="20"/>
        </w:rPr>
        <w:t xml:space="preserve"> </w:t>
      </w:r>
      <w:r>
        <w:rPr>
          <w:rFonts w:ascii="Times New Roman;serif" w:hAnsi="Times New Roman;serif"/>
          <w:b w:val="false"/>
          <w:sz w:val="20"/>
        </w:rPr>
        <w:t>customary representations and warranties, events of default and certain affirmative and negative covenants to which we will remain subject until maturity. The financial covenants include, among other covenants, (x) a requirement to maintain a minimum liquidity amount of the greater of either (i)</w:t>
      </w:r>
      <w:r>
        <w:rPr>
          <w:rFonts w:ascii="Times New Roman" w:hAnsi="Times New Roman"/>
          <w:sz w:val="20"/>
        </w:rPr>
        <w:t xml:space="preserve"> </w:t>
      </w:r>
      <w:r>
        <w:rPr>
          <w:rFonts w:ascii="Times New Roman;serif" w:hAnsi="Times New Roman;serif"/>
          <w:b w:val="false"/>
          <w:sz w:val="20"/>
        </w:rPr>
        <w:t>the consolidated adjusted EBITDA loss (or gain) for the trailing four month period (only if EBITDA is negative) and (ii) $10.0 million, and (y) a requirement to maintain total net revenue of at least 75% of the level set forth in the total revenue plan presented to CIBC. As discussed above, the definition of consolidated adjusted EBITDA was amended to include the pro forma effect of acquisitions. The obligations under the CIBC Credit Agreement are subject to acceleration upon the occurrence of specified events of default, including payment default, change in control, bankruptcy, insolvency, certain defaults under other material debt, certain events with respect to governmental approvals (if such events could cause a material adverse change in our business), failure to comply with certain covenants and a material adverse change in our business, operations or financial condition. As of June 30, 2023, we were in compliance with all covenants of the CIBC Credit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continuance of an event of default, the interest rate per annum will be equal to the rate that would have otherwise been applicable at the time of the event of default plus 2.0%. If an event of default (other than certain events of bankruptcy or insolvency) occurs and is continuing, CIBC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In addition, we may be required to prepay outstanding borrowings, subject to certain exceptions, with portions of net cash proceeds of certain asset sales and certain casualty and condemnation events.</w:t>
      </w:r>
    </w:p>
    <w:p>
      <w:pPr>
        <w:pStyle w:val="TextBody"/>
        <w:bidi w:val="0"/>
        <w:spacing w:before="240" w:after="0"/>
        <w:jc w:val="left"/>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we continue to pursue and increase commercial sales of our OCS products, we expect our costs and expenses to increase in the future, particularly as we expand our commercial team, grow our NOP, scale our manufacturing and sterilization operations, continue research, development and clinical trial efforts, seek regulatory approval for new products and product enhancements, including new indications, both in the United States and in select non-U.S. markets, and intend to seek greater control of air and ground transport for our NOP. For example, if the demand for our products exceeds our existing manufacturing and sterilization capacity, our ability to fulfill orders would be limited until we have sufficiently expanded such operations. In addition, following the closing of our IPO, we have incurred and expect to continue to incur additional costs associated with operating as a public company. The timing and amount of our operating and capital expenditures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amount of net product revenue generated by sales of our OCS Consoles, OCS disposable sets and other products that may be approved in the United States and select non-U.S. markets, revenue generated by our services, and growth of the NOP;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and expenses of expanding our U.S. and non-U.S. sales and marketing infrastructure and our manufacturing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our OCS products are adopted by the transplant community;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of our customers to obtain adequate reimbursement from third-party payors for procedures performed using the OCS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degree of success we experience in commercializing our OCS products for additional indications;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costs, timing and outcomes of post-approval studies or any future clinical studies and regulatory reviews, including to seek and obtain approvals for new indications for our OCS products;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emergence of competing or complementary technologies or procedures;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and types of future products we develop and commercialize;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 of development of the next generation OCS;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building our commercial operations, including the NOP;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establishing and growing our aviation and logistics business, including by means of the acquisition of fixed-wing aircraft or other acquisitions, joint ventures or strategic investments;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preparing, filing and prosecuting patent applications and maintaining, enforcing and defending intellectual property-related claims;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level of our selling, general and administrative expenses. </w:t>
      </w:r>
    </w:p>
    <w:p>
      <w:pPr>
        <w:pStyle w:val="TextBody"/>
        <w:bidi w:val="0"/>
        <w:spacing w:before="240" w:after="0"/>
        <w:jc w:val="left"/>
        <w:rPr>
          <w:rFonts w:ascii="Times New Roman" w:hAnsi="Times New Roman"/>
          <w:sz w:val="20"/>
        </w:rPr>
      </w:pPr>
      <w:r>
        <w:rPr>
          <w:rFonts w:ascii="Times New Roman;serif" w:hAnsi="Times New Roman;serif"/>
          <w:b w:val="false"/>
          <w:sz w:val="20"/>
        </w:rPr>
        <w:t>We believe that our existing cash will enable us to fund our operating expenses, capital expenditure requirements, and debt service payments for at least 12 months following the filing of this Quarterly Report on Form 10-Q.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need to raise additional funding, which might not be available on favorable terms or at all. See “Item 1A. Risk Factors—Risks Related to Our Financial Position and Need for Additional Capital” in our 2022 Form 10-K.</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Material Contractual Obligations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May 11, 2023, we issued $460.0 million aggregate principal amount of Notes due 2028. The Notes bear interest at a rate of 1.50% per year, payable semi-annually in arrears on June 1 and December 1 of each year, beginning on December 1, 2023. The Notes will mature on June 1, 2028, unless earlier converted, redeemed or repurchased.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June 2023, we amended one of our lease agreements to lease additional space, resulting in additional lease payments of approximately $2.6 million over the remaining term of the leases, of which approximately $0.3 million will be payable in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August 1, 2023, we signed a definitive agreement to acquire Summit Aviation, Inc. and Northside Property Group, LLC, or together Summit, a U.S. charter flight operator based in Bozeman, Montana. The acquisition is expected to close in the third quarter of 2023 subject to customary closing conditions.</w:t>
      </w:r>
    </w:p>
    <w:p>
      <w:pPr>
        <w:pStyle w:val="TextBody"/>
        <w:bidi w:val="0"/>
        <w:spacing w:before="120" w:after="0"/>
        <w:jc w:val="left"/>
        <w:rPr>
          <w:rFonts w:ascii="Times New Roman" w:hAnsi="Times New Roman"/>
          <w:sz w:val="20"/>
        </w:rPr>
      </w:pPr>
      <w:r>
        <w:rPr>
          <w:rFonts w:ascii="Times New Roman;serif" w:hAnsi="Times New Roman;serif"/>
          <w:b w:val="false"/>
          <w:sz w:val="20"/>
        </w:rPr>
        <w:t>In separate transactions in July 2023 and August 2023, we acquired two fixed-wing aircraft from two separate sellers.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2, 2023, we acquired certain assets related to lung and heart perfusion technology from Bridge to Life Ltd. and its subsidiary Tevosol, Inc., or together Bridge to Life.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use approximately $70 million of our cash balance to fund these acquisitions.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than as disclosed above, there have been no material changes to our cash requirements from those disclosed in our 2022 Form 10-K.</w:t>
      </w:r>
    </w:p>
    <w:p>
      <w:pPr>
        <w:pStyle w:val="TextBody"/>
        <w:bidi w:val="0"/>
        <w:spacing w:before="24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consolidated financial statements are prepared in accordance with generally accepted accounting principles in the United States. The preparation of our consolidated financial statements and related disclosures requires us to make estimates, assumptions and judgments that affect the reported amounts of assets, liabilities, revenue, costs and expenses, and related disclosures. We evaluate our estimates on an ongoing basis. Our actual results may differ from these estimates under different assumptions or conditions.</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material changes to our critical accounting policies and estimates from those disclosed in our consolidated financial statements and the related notes and other financial information included in our 2022 Form 10-K.</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description of recently issued accounting pronouncements that may potentially impact our financial position, results of operations or cash flows is disclosed in Note 2 to our consolidated financial statements included elsewhere in this Quarterly Report on Form 10-Q.</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1" w:name="item_3_quantitative_qualitative_disclosu"/>
      <w:bookmarkEnd w:id="11"/>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changes in interest rates and foreign currency exchange rates because we finance certain operations through variable rate debt instruments, hold investments and denominate our transactions in a variety of foreign currencies. Changes in these rates may have an impact on future cash flow and earnings. We manage these risks through normal operating and financing activities. There has been no material change in the foreign currency exchange risk or interest rate risk discussed in “Management’s Discussion and Analysis of Financial Condition and Results of Operations” included in our 2022 Form 10-K other than as disclosed below.</w:t>
      </w:r>
      <w:r>
        <w:rPr>
          <w:rFonts w:ascii="Times New Roman" w:hAnsi="Times New Roman"/>
          <w:sz w:val="20"/>
        </w:rPr>
        <w:t xml:space="preserve"> </w:t>
      </w:r>
    </w:p>
    <w:p>
      <w:pPr>
        <w:pStyle w:val="TextBody"/>
        <w:bidi w:val="0"/>
        <w:spacing w:before="240" w:after="120"/>
        <w:jc w:val="left"/>
        <w:rPr>
          <w:rFonts w:ascii="Times New Roman" w:hAnsi="Times New Roman"/>
          <w:sz w:val="20"/>
        </w:rPr>
      </w:pPr>
      <w:r>
        <w:rPr>
          <w:rFonts w:ascii="Times New Roman;serif" w:hAnsi="Times New Roman;serif"/>
          <w:b/>
          <w:i/>
          <w:sz w:val="20"/>
        </w:rPr>
        <w:t>Convertible Senior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2023, we issued the Notes with an aggregate principal amount of $460.0 million. In connection with the issuance of the Notes, we entered into privately negotiated capped call transactions with certain counterparties. The Capped Calls are expected generally to offset the potential dilution to our common stock as a result of any conversion of the Notes. The Notes have a fixed annual interest rate of 1.50%. Accordingly, we do not have interest rate exposure on the Notes.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 w:name="item_4_controls_procedures"/>
      <w:bookmarkEnd w:id="12"/>
      <w:r>
        <w:rPr>
          <w:rFonts w:ascii="Times New Roman;serif" w:hAnsi="Times New Roman;serif"/>
          <w:b/>
          <w:sz w:val="20"/>
        </w:rPr>
        <w:t>Item 4.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with the participation of our President and Chief Executive Officer and our Chief Financial Officer (our principal executive officer and principal financial and accounting officer, respectively), evaluated the effectiveness of our disclosure controls and procedures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President and Chief Executive Officer and our Chief Financial Officer concluded that, as of such date, our disclosure controls and procedures were effective at the reasonable assurance level.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 change in our internal control over financial reporting (as defined in Rules 13a-15(f) and 15d-15(f) under the Exchange Act) occurred during the three months ended June 30, 2023 that has materially affected, or is reasonably likely to materially affect, our internal control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bookmarkStart w:id="13" w:name="part_iior_information"/>
      <w:bookmarkEnd w:id="13"/>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left"/>
        <w:rPr>
          <w:rFonts w:ascii="Times New Roman" w:hAnsi="Times New Roman"/>
          <w:sz w:val="20"/>
        </w:rPr>
      </w:pPr>
      <w:bookmarkStart w:id="14" w:name="item_1_legal_proceedings"/>
      <w:bookmarkEnd w:id="14"/>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not currently subject to any material 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 w:name="item_1a_risk_factors"/>
      <w:bookmarkEnd w:id="15"/>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Investing in our common stock involves a high degree of risk. For a detailed discussion of the risks that affect our business, please refer to the section titled “Item 1A. Risk Factors” in our 2022 Form 10-K and additional risks below.</w:t>
      </w:r>
    </w:p>
    <w:p>
      <w:pPr>
        <w:pStyle w:val="TextBody"/>
        <w:bidi w:val="0"/>
        <w:spacing w:before="240" w:after="0"/>
        <w:jc w:val="left"/>
        <w:rPr>
          <w:rFonts w:ascii="Times New Roman;serif" w:hAnsi="Times New Roman;serif"/>
          <w:b/>
          <w:sz w:val="20"/>
        </w:rPr>
      </w:pPr>
      <w:r>
        <w:rPr>
          <w:rFonts w:ascii="Times New Roman;serif" w:hAnsi="Times New Roman;serif"/>
          <w:b/>
          <w:sz w:val="20"/>
        </w:rPr>
        <w:t>Risks Related to our Operations and Business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Failure to protect our information technology infrastructure against cyber-based attacks, network security breaches or data corruption could materially disrupt our operations and adversely affect our business and operating results.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efficient operation of our business depends on our information technology systems. We rely on our information technology systems to effectively manage sales and marketing data, accounting and financial functions, inventory management, product development tasks, clinical data, donor and patient data, customer service and technical support functions. However, our information technology systems are vulnerable to damage or interruption, including from earthquakes, fires, floods and other natural disasters; terrorist attacks; cyber-based attacks; attacks by computer viruses or hackers; power losses, computer system or data network failures; security breaches and data corruption. The failure of either our or our service providers’ information technology could disrupt our entire operation or result in decreased sales, increased overhead costs and product shortages, all of which could materially and adversely affect our business, financial condition, operating results, reputation, cash flows and prospects. In addition, our software systems include cloud-based applications that are hosted by third-party service providers with security and information technology systems subject to similar risks, and we may not have accurate or complete information about the risks they face or the security of their systems.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the cyber-threat landscape evolves, attacks are growing in frequency, sophistication and intensity, are becoming increasingly difficult to detect, and are being perpetrated by a broadening array of threat actors, including criminal hackers, hacktivists, nation-states and state-sponsored actors, perpetrators of industrial espionage and sabotage, and inside threats. New and expanding threats to our information systems, including computer viruses, ransomware and phishing attacks, insider attacks, and more sophisticated and targeted cyber-related attacks, as well as cybersecurity failures resulting from human error and technological errors, pose a risk to the security of our systems and the systems of our customers, business partners and suppliers, as well the confidentiality, availability and integrity of the data we process. For example, during the second quarter of 2023, we became aware of an infiltration of portions of our information technology network. As part of our investigation into this incident, we engaged outside security experts and identified unauthorized theft of data from our network that included employee and financial data. We do not store patient related data on our network or anywhere within the company premises. We have implemented additional security safeguards that we believe have secured the system, however, these additional security safeguards may not be successful. While the impact from this incident was not material to the operations of the Company, future impacts from such threats may be material. While we maintain insurance coverage for these types of incidents, such policies, may not provide coverage for, or offset the costs of responding to and remediating this infiltration or any other such incidents or any other liability that may arise from this infiltration or any other such incident.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access to sensitive, confidential or personal data or information that is subject to privacy and security laws, regulations or customer-imposed controls. Despite our implementation of controls designed to protect our systems and sensitive, confidential or personal data or information, we have suffered the infiltration described above (and may have suffered other intrusions in the past) and may in the future be vulnerable to material security breaches, theft, misplaced, lost or corrupted data, employee errors and/or malfeasance (including misappropriation by departing employees) that could potentially lead to the compromising of sensitive, confidential or personal data or information.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While we attempt to mitigate these risks by employing a number of measures, including employee training and maintenance of protective systems, such measures did not prevent the infiltration described above and may not prove adequate to prevent cyberattacks, and we remain potentially vulnerable to additional known or unknown threats. The impact from such threats could be material. 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business delays, service or system disruptions, damage to equipment and injury to persons or property, and increased insurance premiums.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injunctive relief requiring costly compliance measures. Any cybersecurity incident could also impact our brand, harm our reputation and adversely impact our relationship with our customers, employees and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We may not fully realize the anticipated benefits of our completed or future acquisitions, joint ventures, and strategic investments, such transactions may expose us to additional risks.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2, 2023, we acquired certain assets related to lung and heart perfusion technology from Bridge to Life Ltd. and its subsidiary Tevosol, Inc., or together Bridge to Life. In addition, on August 1, 2023, we entered into a definitive acquisition agreement to acquire Summit, an aviation business that we intend to operate as part of our NOP to transport donor organs, and have separately acquired two fixed-wing aircraft, and intend to acquire additional fixed-wing aircraft, that will be operated as part of our NOP. Utilization of these acquired assets and, if the acquisition of Summit is consummated, integration of Summit, may be complex, costly and time consuming and we may face unanticipated issues, expenses and liabilities. We may not successfully or profitably utilize newly acquired assets or integrate, operate, maintain and manage any newly acquired operations or employees. Further development of the assets we acquired from Bridge to Life, or the Bridge to Life Assets, will require extensive clinical development, management of nonclinical, clinical and manufacturing activities. In addition, we may decide that only certain of the acquired technology is useful for the next generation of the OCS, or that integration of the acquired technology is not feasible or is too costly. We also may face challenges integrating Summit into our organization. We have never provided aviation services and will depend on the management team of Summit for the successful operation and integration into our NOP services offering. Even if we are able to utilize the Bridge to Life Assets and integrate Summit or any other acquired assets or businesses successfully, we may not realize the expected benefits of the transactions. These are the Company’s first acquisitions, and we may need to invest in additional business processes and systems to support the Summit integration or to utilize the Bridge to Life Assets. Such additional costs may offset the financial benefits that may be realized from the acquisitions. We also may suffer the loss of key employees, customers and strategic partners of Summit or any future acquired company and it may be difficult to implement our corporate culture. There also may be increased risk due to integrating financial reporting and internal control systems of Summit. We may review additional acquisition, joint ventures and strategic investment opportunities to expand our current product offerings, increase the size and geographic scope of our operations or otherwise offer growth and operating efficiency opportunities. There can be no assurance that we will be able to identify suitable candidates or consummate future transactions on favorable terms. If required, the financing for future transactions could result in an increase in our indebtedness, dilute the interests of our shareholders or both. The purchase price for some acquisitions or joint ventures interests may include additional amounts to be paid in cash in the future, a portion of which may be contingent on the achievement of certain future operating results of the acquired business. If the performance of any such acquired business or joint venture exceeds such operating results, then we may incur additional charges and be required to pay additional amounts. Our failure to successfully utilize any acquired assets, complete the integration of any acquired business, achieve the long-term plan for such assets or businesses, as well as any other adverse consequences associated with our acquisition and investment activities, could have an adverse effect on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business. Any acquisition may also disrupt our ongoing business, divert resources, increase our expenses, and distract our management from our ongoing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Upon consummation of the acquisition of Summit, we will be subject to risks related to providing aviation services and operating aircraft as part of our NOP.</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never provided aviation services or previously owned or operated aircraft and, if the acquisition of Summit is consummated, we will be subject to new risks related to providing aviation services and operating aircraft,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supply of pilots to the airline and private aviation industries is limited and may negatively affect our operations, including the availability of flights for organ transportation, and increases in our labor costs may adversely affect our business, results of operations and financial condition;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pilot attrition may negatively affect our operations and results of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subject to unionization, work stoppages, slowdowns or increased labor costs and the unionization of our pilots, maintenance workers and inflight crewmembers could result in increased labor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exposed to operational disruptions due to maintenance and we may incur substantial maintenance costs as part of our leased or owned aircraft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increases in fuel costs that we are unable to pass along to our customers could have a material adverse effect on our business, financial condition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reliance on certain model aircraft and spare parts will pose risks to our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insurance may become too difficult or expensive to obtain, and if we are unable to maintain sufficient insurance coverage, it may materially and adversely impact our results of operations and financial position;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aviation services are often affected by factors beyond their control including: air traffic congestion at airports; airport slot restrictions; air traffic control inefficiencies; increased and changing security measures; changing regulatory and governmental requirements; new or changing travel-related taxes; any of which could have a material adverse effect on our operations, including the availability of flights for organ transportation, results of operations and financial condition;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operation of aircraft is subject to various risks, and failure to maintain an acceptable safety record may have an adverse impact on our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will be subject to significant governmental regulation and changes in government regulations imposing additional requirements and restrictions on our operations could increase our operating costs and result in service delays and disruptions;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aviation permits, approvals, authorizations and licenses may be revoked.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If we consummate the acquisition of Summit and if any of these risks or liabilities were to materialize, then the desired benefits of the acquisition may not be fully realized, if at all, and our business, financial condition and results of operations could be negatively impacted.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Risks Related to Our Convertible Senior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Servicing our 1.50% convertible senior notes due 2028 requires a significant amount of cash, and we may not have sufficient cash flow to pay our debt.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May 2023, we issued $460.0 million aggregate principal amount of the Notes, pursuant to that certain indenture dated as of May 11, 2023, between us as issuer, and U.S. Bank Trust Company, National Association, as trustee. Our ability to make scheduled payments of the principal of, to pay interest on, or to refinance our indebtedness, including the Notes, depends on our future performance, which is subject to many factors, including, economic, financial, competitive and other, beyond our control. If our business does not generate cash flow from operations sufficient to service our debt and make necessary capital expenditures and we may therefore be required to adopt one or more alternatives, such as selling assets, restructuring debt or obtaining additional equity capital on terms that may be onerous or highly dilutive. Our ability to refinance the Notes, which mature in 2028, will depend on the capital markets and our financial condition at such times. We may not be able to engage in any of these activities or engage in these activities on desirable terms, which could result in a default on our debt obligations, and limit our flexibility in planning for and reacting to changes in our business.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not have the ability to raise the funds necessary to repurchase the Notes as required upon a fundamental change, and our future debt may contain limitations on our ability to repurchase the Notes.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Holders of the Notes will have the right to require us to repurchase their Notes for cash upon the occurrence of a fundamental change at a fundamental change repurchase price equal to 100% of the principal amount of the Notes to be repurchased, plus accrued and unpaid interest, if any. A fundamental change may also constitute an event of default or prepayment under, and result in the acceleration of the maturity of, our then-existing indebtedness. We cannot guarantee that we will have sufficient financial resources, or will be able to arrange financing, to pay the fundamental change repurchase price in cash with respect to any Notes surrendered by holders for repurchase upon a fundamental change. In addition, restrictions under our then existing credit facilities or other indebtedness, if any, may not allow us to repurchase the Notes upon a fundamental change. Our failure to repurchase the Notes upon a fundamental change when required would result in an event of default with respect to the Notes which could, in turn, constitute a default under the terms of our other indebtedness, if any. If the repayment of the related indebtedness were to be accelerated after any applicable notice or grace periods, we may not have sufficient funds to repay the indebtedness and repurchase the Notes.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Capped call transactions entered into in connection with the Notes may impact the value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connection with the Notes, we entered into capped call transactions (the “Capped Call Transactions”) with certain financial institutions. The Capped Call Transactions are expected to generally reduce the potential dilution upon conversion of the Notes into shares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connection with establishing their initial hedges of the Capped Call Transactions, these financial institutions or their respective affiliates may have entered into various derivative transactions with respect to our common stock and/or purchased our common stock. The financial institutions,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may have an impact on the value of our common stock.</w:t>
      </w:r>
    </w:p>
    <w:p>
      <w:pPr>
        <w:pStyle w:val="TextBody"/>
        <w:bidi w:val="0"/>
        <w:spacing w:before="24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 w:hAnsi="Times New Roman"/>
          <w:sz w:val="20"/>
        </w:rPr>
      </w:pPr>
      <w:bookmarkStart w:id="17" w:name="item_5_other_information"/>
      <w:bookmarkEnd w:id="17"/>
      <w:r>
        <w:rPr>
          <w:rFonts w:ascii="Times New Roman;serif" w:hAnsi="Times New Roman;serif"/>
          <w:b/>
          <w:sz w:val="20"/>
        </w:rPr>
        <w:t>Item 5. Other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June 30, 2023, no</w:t>
      </w:r>
      <w:r>
        <w:rPr>
          <w:rFonts w:ascii="Times New Roman" w:hAnsi="Times New Roman"/>
          <w:sz w:val="20"/>
        </w:rPr>
        <w:t xml:space="preserve"> </w:t>
      </w:r>
      <w:r>
        <w:rPr>
          <w:rFonts w:ascii="Times New Roman;serif" w:hAnsi="Times New Roman;serif"/>
          <w:b w:val="false"/>
          <w:sz w:val="20"/>
        </w:rPr>
        <w:t>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12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8" w:name="item_6_exhibits"/>
      <w:bookmarkEnd w:id="18"/>
      <w:r>
        <w:rPr>
          <w:rFonts w:ascii="Times New Roman;serif" w:hAnsi="Times New Roman;serif"/>
          <w:b/>
          <w:sz w:val="20"/>
        </w:rPr>
        <w:t>Item 6. 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53"/>
        <w:gridCol w:w="146"/>
        <w:gridCol w:w="9306"/>
      </w:tblGrid>
      <w:tr>
        <w:trPr/>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6" w:type="dxa"/>
            <w:tcBorders/>
            <w:vAlign w:val="center"/>
          </w:tcPr>
          <w:p>
            <w:pPr>
              <w:pStyle w:val="TableContents"/>
              <w:bidi w:val="0"/>
              <w:spacing w:before="0" w:after="283"/>
              <w:jc w:val="left"/>
              <w:rPr>
                <w:sz w:val="4"/>
                <w:szCs w:val="4"/>
              </w:rPr>
            </w:pPr>
            <w:r>
              <w:rPr>
                <w:sz w:val="4"/>
                <w:szCs w:val="4"/>
              </w:rPr>
            </w:r>
          </w:p>
        </w:tc>
      </w:tr>
      <w:tr>
        <w:trPr/>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Indenture, dated as of May 11, 2023, by and between TransMedics Group, Inc. and U.S. Bank Trust Company, National Association (including the form of the 1.50% Convertible Senior Note due 2028) (incorporated by reference to Exhibit 4.1 to the Registrant’s Current Report on Form 8-K (File No. 001-38891) filed with the SEC on May 11, 2023).</w:t>
              </w:r>
            </w:hyperlink>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Form of Note (included in Exhibit 4.1) (incorporated by reference to Exhibit 4.2 to the Registrant’s Current Report on Form 8-K (File No. 001-38891) filed with the SEC on May 11, 2023).</w:t>
              </w:r>
            </w:hyperlink>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Form of Call Option Transaction Confirmation (incorporated by reference to Exhibit 10.2 to the Registrant’s Current Report on Form 8-K (File No. 001-38891) filed with the SEC on May 11, 2023).</w:t>
              </w:r>
            </w:hyperlink>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10.2</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First Amendment to Credit Agreement, dated as of May 8, 2023, by and among TransMedics Group, Inc., the lender party thereto and Canadian Imperial Bank of Commerce, as administrative agent (incorporated by reference to Exhibit 10.1 to the Registrant’s Current Report on Form 8-K (File No. 001-38891) filed with the SEC on May 9, 2023).</w:t>
              </w:r>
            </w:hyperlink>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10.3</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Second Amendment to Credit Agreement, dated as of June 23, 2023, by and among TransMedics Group, Inc., the lenders party thereto and Canadian Imperial Bank of Commerce, as administrative agent (incorporated by reference to Exhibit 10.1 to the Registrant’s Current Report on Form 8-K (File No. 001-38891) filed with the SEC on June 29, 2023).</w:t>
              </w:r>
            </w:hyperlink>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hyperlink w:anchor="tmdx-ex31_1.htm">
              <w:r>
                <w:rPr>
                  <w:rStyle w:val="InternetLink"/>
                  <w:rFonts w:ascii="Times New Roman;serif" w:hAnsi="Times New Roman;serif"/>
                  <w:b w:val="false"/>
                  <w:sz w:val="20"/>
                  <w:u w:val="single"/>
                </w:rPr>
                <w:t>Certification of Principal Executive Officer pursuant to Rule 13a-14(a) or Rule 15d-14(a) of the Securities Exchange Act of 1934, as adopted pursuant to Section 302 of the Sarbanes-Oxley Act of 2002</w:t>
              </w:r>
            </w:hyperlink>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hyperlink w:anchor="tmdx-ex31_2.htm">
              <w:r>
                <w:rPr>
                  <w:rStyle w:val="InternetLink"/>
                  <w:rFonts w:ascii="Times New Roman;serif" w:hAnsi="Times New Roman;serif"/>
                  <w:b w:val="false"/>
                  <w:sz w:val="20"/>
                  <w:u w:val="single"/>
                </w:rPr>
                <w:t>Certification of Principal Financial Officer pursuant to Rule 13a-14(a) or Rule 15d-14(a) of the Securities Exchange Act of 1934, as adopted pursuant to Section 302 of the Sarbanes-Oxley Act of 2002</w:t>
              </w:r>
            </w:hyperlink>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hyperlink w:anchor="tmdx-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32.2</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hyperlink w:anchor="tmdx-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XBRL Instance Document - the instance document does not appear in the Interactive Data File because its XBRL tags are embedded within the Inline XBRL document</w:t>
            </w:r>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Calculation Linkbase Document.</w:t>
            </w:r>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Label Linkbase Document.</w:t>
            </w:r>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Presentation Linkbase Document.</w:t>
            </w:r>
          </w:p>
        </w:tc>
      </w:tr>
      <w:tr>
        <w:trPr/>
        <w:tc>
          <w:tcPr>
            <w:tcW w:w="7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Filed herewith</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 This certification will not be deemed “filed” for purposes of Section 18 of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9" w:name="signatures"/>
      <w:bookmarkEnd w:id="19"/>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6243" w:type="dxa"/>
        <w:jc w:val="left"/>
        <w:tblInd w:w="0" w:type="dxa"/>
        <w:tblLayout w:type="fixed"/>
        <w:tblCellMar>
          <w:top w:w="28" w:type="dxa"/>
          <w:left w:w="28" w:type="dxa"/>
          <w:bottom w:w="28" w:type="dxa"/>
          <w:right w:w="28" w:type="dxa"/>
        </w:tblCellMar>
      </w:tblPr>
      <w:tblGrid>
        <w:gridCol w:w="1846"/>
        <w:gridCol w:w="406"/>
        <w:gridCol w:w="399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4, 2023</w:t>
            </w:r>
          </w:p>
        </w:tc>
        <w:tc>
          <w:tcPr>
            <w:tcW w:w="439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TRANSMEDICS GROUP, INC.</w:t>
            </w:r>
          </w:p>
        </w:tc>
      </w:tr>
      <w:tr>
        <w:trPr/>
        <w:tc>
          <w:tcPr>
            <w:tcW w:w="1846" w:type="dxa"/>
            <w:tcBorders/>
            <w:vAlign w:val="center"/>
          </w:tcPr>
          <w:p>
            <w:pPr>
              <w:pStyle w:val="TableContents"/>
              <w:bidi w:val="0"/>
              <w:spacing w:before="0" w:after="0"/>
              <w:ind w:left="0" w:right="0" w:hanging="0"/>
              <w:jc w:val="left"/>
              <w:rPr/>
            </w:pPr>
            <w:r>
              <w:rPr/>
              <w:t> </w:t>
            </w:r>
          </w:p>
        </w:tc>
        <w:tc>
          <w:tcPr>
            <w:tcW w:w="4397" w:type="dxa"/>
            <w:gridSpan w:val="2"/>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Waleed H. Hassanein, M.D.</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Waleed H. Hassanein, M.D.</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9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4,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Stephen Gordon</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Stephen Gordon</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 Treasurer and Secretary</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0" w:name="tmdx-ex31_1.htm"/>
      <w:bookmarkStart w:id="21" w:name="kstmdxex31_1"/>
      <w:bookmarkEnd w:id="20"/>
      <w:bookmarkEnd w:id="21"/>
      <w:r>
        <w:rPr>
          <w:rFonts w:ascii="Times New Roman;serif" w:hAnsi="Times New Roman;serif"/>
          <w:b/>
          <w:sz w:val="20"/>
        </w:rPr>
        <w:t>Exhibit 31.1</w:t>
      </w:r>
      <w:r>
        <w:rPr>
          <w:rFonts w:ascii="Times New Roman" w:hAnsi="Times New Roman"/>
          <w:sz w:val="20"/>
        </w:rPr>
        <w:t xml:space="preserve"> </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RULES 13a-14(a) AND 15d-14(a) UNDER THE SECURITIES EXCHANGE ACT</w:t>
      </w:r>
    </w:p>
    <w:p>
      <w:pPr>
        <w:pStyle w:val="TextBody"/>
        <w:bidi w:val="0"/>
        <w:spacing w:before="0" w:after="0"/>
        <w:jc w:val="center"/>
        <w:rPr>
          <w:rFonts w:ascii="Times New Roman;serif" w:hAnsi="Times New Roman;serif"/>
          <w:b/>
          <w:sz w:val="20"/>
        </w:rPr>
      </w:pPr>
      <w:r>
        <w:rPr>
          <w:rFonts w:ascii="Times New Roman;serif" w:hAnsi="Times New Roman;serif"/>
          <w:b/>
          <w:sz w:val="20"/>
        </w:rPr>
        <w:t>OF 1934, AS ADOPTED PURSUANT TO SECTION 302 OF THE SARBANES-OXLEY ACT OF 2002</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 Waleed Hassanein, M.D., certify that: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TransMedics Group, Inc.;</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Date: August 4, 2023</w:t>
      </w:r>
    </w:p>
    <w:p>
      <w:pPr>
        <w:pStyle w:val="TextBody"/>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Waleed H. Hassanein, M.D.</w:t>
            </w:r>
          </w:p>
        </w:tc>
      </w:tr>
      <w:tr>
        <w:trPr/>
        <w:tc>
          <w:tcPr>
            <w:tcW w:w="3466" w:type="dxa"/>
            <w:tcBorders/>
            <w:vAlign w:val="center"/>
          </w:tcPr>
          <w:p>
            <w:pPr>
              <w:pStyle w:val="TableContents"/>
              <w:bidi w:val="0"/>
              <w:spacing w:before="0" w:after="0"/>
              <w:ind w:left="0" w:right="0" w:firstLine="240"/>
              <w:jc w:val="left"/>
              <w:rPr/>
            </w:pPr>
            <w:r>
              <w:rPr/>
              <w:t> </w:t>
            </w:r>
          </w:p>
        </w:tc>
      </w:tr>
      <w:tr>
        <w:trPr/>
        <w:tc>
          <w:tcPr>
            <w:tcW w:w="346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Waleed H. Hassanein, M.D.</w:t>
            </w:r>
          </w:p>
        </w:tc>
      </w:tr>
      <w:tr>
        <w:trPr/>
        <w:tc>
          <w:tcPr>
            <w:tcW w:w="346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3466"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2" w:name="tmdx-ex31_2.htm"/>
      <w:bookmarkStart w:id="23" w:name="kstmdxex31_2"/>
      <w:bookmarkEnd w:id="22"/>
      <w:bookmarkEnd w:id="23"/>
      <w:r>
        <w:rPr>
          <w:rFonts w:ascii="Times New Roman;serif" w:hAnsi="Times New Roman;serif"/>
          <w:b/>
          <w:sz w:val="20"/>
        </w:rPr>
        <w:t>Exhibit 31.2</w:t>
      </w:r>
      <w:r>
        <w:rPr>
          <w:rFonts w:ascii="Times New Roman" w:hAnsi="Times New Roman"/>
          <w:sz w:val="20"/>
        </w:rPr>
        <w:t xml:space="preserve"> </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RULES 13a-14(a) AND 15d-14(a) UNDER THE SECURITIES EXCHANGE ACT</w:t>
      </w:r>
    </w:p>
    <w:p>
      <w:pPr>
        <w:pStyle w:val="TextBody"/>
        <w:bidi w:val="0"/>
        <w:spacing w:before="0" w:after="0"/>
        <w:jc w:val="center"/>
        <w:rPr>
          <w:rFonts w:ascii="Times New Roman;serif" w:hAnsi="Times New Roman;serif"/>
          <w:b/>
          <w:sz w:val="20"/>
        </w:rPr>
      </w:pPr>
      <w:r>
        <w:rPr>
          <w:rFonts w:ascii="Times New Roman;serif" w:hAnsi="Times New Roman;serif"/>
          <w:b/>
          <w:sz w:val="20"/>
        </w:rPr>
        <w:t>OF 1934, AS ADOPTED PURSUANT TO SECTION 302 OF THE SARBANES-OXLEY ACT OF 2002</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 Stephen Gordon, certify that: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TransMedics Group, Inc.;</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Date: August 4, 2023</w:t>
      </w:r>
    </w:p>
    <w:p>
      <w:pPr>
        <w:pStyle w:val="TextBody"/>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283"/>
              <w:jc w:val="left"/>
              <w:rPr>
                <w:sz w:val="4"/>
                <w:szCs w:val="4"/>
              </w:rPr>
            </w:pPr>
            <w:r>
              <w:rPr>
                <w:sz w:val="4"/>
                <w:szCs w:val="4"/>
              </w:rPr>
            </w:r>
          </w:p>
        </w:tc>
      </w:tr>
      <w:tr>
        <w:trPr/>
        <w:tc>
          <w:tcPr>
            <w:tcW w:w="4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Stephen Gordon</w:t>
            </w:r>
          </w:p>
        </w:tc>
      </w:tr>
      <w:tr>
        <w:trPr/>
        <w:tc>
          <w:tcPr>
            <w:tcW w:w="4246" w:type="dxa"/>
            <w:tcBorders/>
            <w:vAlign w:val="center"/>
          </w:tcPr>
          <w:p>
            <w:pPr>
              <w:pStyle w:val="TableContents"/>
              <w:bidi w:val="0"/>
              <w:spacing w:before="0" w:after="0"/>
              <w:ind w:left="0" w:right="0" w:firstLine="240"/>
              <w:jc w:val="left"/>
              <w:rPr/>
            </w:pPr>
            <w:r>
              <w:rPr/>
              <w:t> </w:t>
            </w:r>
          </w:p>
        </w:tc>
      </w:tr>
      <w:tr>
        <w:trPr/>
        <w:tc>
          <w:tcPr>
            <w:tcW w:w="424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Stephen Gordon</w:t>
            </w:r>
          </w:p>
        </w:tc>
      </w:tr>
      <w:tr>
        <w:trPr/>
        <w:tc>
          <w:tcPr>
            <w:tcW w:w="424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Chief Financial Officer, Treasurer and Secretary</w:t>
            </w:r>
          </w:p>
        </w:tc>
      </w:tr>
      <w:tr>
        <w:trPr/>
        <w:tc>
          <w:tcPr>
            <w:tcW w:w="4246"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4" w:name="tmdx-ex32_1.htm"/>
      <w:bookmarkStart w:id="25" w:name="kstmdxex32_1"/>
      <w:bookmarkEnd w:id="24"/>
      <w:bookmarkEnd w:id="25"/>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32.1</w:t>
      </w:r>
      <w:r>
        <w:rPr>
          <w:rFonts w:ascii="Times New Roman" w:hAnsi="Times New Roman"/>
          <w:sz w:val="20"/>
        </w:rPr>
        <w:t xml:space="preserve"> </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12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12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TransMedics Group, Inc. (the “Company”) for the period ended June 30, 2023, as filed with the Securities and Exchange Commission on the date hereof (the “Report”), the undersigned, Waleed Hassanein, M.D., President and Chief Executive Officer of the Company, hereby certifies, pursuant to 18 U.S.C. Section 1350, as adopted pursuant to Section 906 of the Sarbanes-Oxley Act of 2002, that to the best of his knowledge: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463" w:type="dxa"/>
        <w:jc w:val="left"/>
        <w:tblInd w:w="0" w:type="dxa"/>
        <w:tblLayout w:type="fixed"/>
        <w:tblCellMar>
          <w:top w:w="28" w:type="dxa"/>
          <w:left w:w="28" w:type="dxa"/>
          <w:bottom w:w="28" w:type="dxa"/>
          <w:right w:w="28" w:type="dxa"/>
        </w:tblCellMar>
      </w:tblPr>
      <w:tblGrid>
        <w:gridCol w:w="1846"/>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4,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Waleed H. Hassanein, M.D.</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Waleed H. Hassanein, M.D.</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tmdx-ex32_2.htm"/>
      <w:bookmarkStart w:id="27" w:name="kstmdxex32_2"/>
      <w:bookmarkEnd w:id="26"/>
      <w:bookmarkEnd w:id="27"/>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32.2</w:t>
      </w:r>
      <w:r>
        <w:rPr>
          <w:rFonts w:ascii="Times New Roman" w:hAnsi="Times New Roman"/>
          <w:sz w:val="20"/>
        </w:rPr>
        <w:t xml:space="preserve"> </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12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12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TransMedics Group, Inc. (the “Company”) for the period ended June 30, 2023 as filed with the Securities and Exchange Commission on the date hereof (the “Report”), the undersigned, Stephen Gordon, Chief Financial Officer, Treasurer and Secretary of the Company, hereby certifies, pursuant to 18 U.S.C. Section 1350, as adopted pursuant to Section 906 of the Sarbanes-Oxley Act of 2002, that to the best of his knowledge: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243" w:type="dxa"/>
        <w:jc w:val="left"/>
        <w:tblInd w:w="0" w:type="dxa"/>
        <w:tblLayout w:type="fixed"/>
        <w:tblCellMar>
          <w:top w:w="28" w:type="dxa"/>
          <w:left w:w="28" w:type="dxa"/>
          <w:bottom w:w="28" w:type="dxa"/>
          <w:right w:w="28" w:type="dxa"/>
        </w:tblCellMar>
      </w:tblPr>
      <w:tblGrid>
        <w:gridCol w:w="1846"/>
        <w:gridCol w:w="406"/>
        <w:gridCol w:w="399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4,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9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Stephen Gordon</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Stephen Gordon</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 Treasurer and Secretary</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6262/000119312523142017/d509646dex41.htm" TargetMode="External"/><Relationship Id="rId3" Type="http://schemas.openxmlformats.org/officeDocument/2006/relationships/hyperlink" Target="https://www.sec.gov/Archives/edgar/data/1756262/000119312523142017/d509646dex41.htm" TargetMode="External"/><Relationship Id="rId4" Type="http://schemas.openxmlformats.org/officeDocument/2006/relationships/hyperlink" Target="https://www.sec.gov/Archives/edgar/data/1756262/000119312523142017/d509646dex102.htm" TargetMode="External"/><Relationship Id="rId5" Type="http://schemas.openxmlformats.org/officeDocument/2006/relationships/hyperlink" Target="https://www.sec.gov/Archives/edgar/data/1756262/000119312523138845/d185606dex101.htm" TargetMode="External"/><Relationship Id="rId6" Type="http://schemas.openxmlformats.org/officeDocument/2006/relationships/hyperlink" Target="https://www.sec.gov/Archives/edgar/data/1756262/000119312523178575/d504683d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23532</Words>
  <Characters>127788</Characters>
  <CharactersWithSpaces>152448</CharactersWithSpaces>
  <Paragraphs>4739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