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03709ddef14a.htm"/>
        <w:bookmarkStart w:id="1" w:name="ksd803709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spacing w:val="0"/>
              </w:rPr>
            </w:pPr>
            <w:r>
              <w:rPr>
                <w:b/>
                <w:spacing w:val="0"/>
              </w:rPr>
              <w:t xml:space="preserve">Confidential, for Use of the Commission Only (as permitted by Rule </w:t>
            </w:r>
          </w:p>
          <w:p>
            <w:pPr>
              <w:pStyle w:val="TableContents"/>
              <w:bidi w:val="0"/>
              <w:spacing w:before="0" w:after="0"/>
              <w:jc w:val="left"/>
              <w:rPr>
                <w:b/>
                <w:spacing w:val="0"/>
              </w:rPr>
            </w:pPr>
            <w:r>
              <w:rPr>
                <w:b/>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spacing w:val="0"/>
              </w:rPr>
            </w:pPr>
            <w:r>
              <w:rPr>
                <w:spacing w:val="0"/>
              </w:rPr>
              <w:t>§240.14a-12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TRANSMEDICS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16"/>
        </w:rPr>
      </w:pPr>
      <w:r>
        <w:rPr>
          <w:rFonts w:ascii="Times New Roman" w:hAnsi="Times New Roman"/>
          <w:b/>
          <w:sz w:val="16"/>
        </w:rPr>
        <w:t xml:space="preserve">(Name of Person(s) Filing Proxy Statement if other than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tbl>
      <w:tblPr>
        <w:tblW w:w="8050" w:type="dxa"/>
        <w:jc w:val="left"/>
        <w:tblInd w:w="0" w:type="dxa"/>
        <w:tblLayout w:type="fixed"/>
        <w:tblCellMar>
          <w:top w:w="0" w:type="dxa"/>
          <w:left w:w="0" w:type="dxa"/>
          <w:bottom w:w="0" w:type="dxa"/>
          <w:right w:w="0" w:type="dxa"/>
        </w:tblCellMar>
      </w:tblPr>
      <w:tblGrid>
        <w:gridCol w:w="245"/>
        <w:gridCol w:w="60"/>
        <w:gridCol w:w="7745"/>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120" w:after="0"/>
        <w:jc w:val="left"/>
        <w:rPr>
          <w:rFonts w:ascii="arial" w:hAnsi="arial"/>
          <w:b/>
          <w:color w:val="A41F35"/>
          <w:sz w:val="56"/>
          <w:shd w:fill="EFECE8" w:val="clear"/>
        </w:rPr>
      </w:pPr>
      <w:r>
        <w:rPr>
          <w:rFonts w:ascii="arial" w:hAnsi="arial"/>
          <w:b/>
          <w:color w:val="A41F35"/>
          <w:sz w:val="56"/>
          <w:shd w:fill="EFECE8" w:val="clear"/>
        </w:rPr>
        <w:t xml:space="preserve">Message To Our Shareholders </w:t>
      </w:r>
    </w:p>
    <w:p>
      <w:pPr>
        <w:pStyle w:val="TextBody"/>
        <w:bidi w:val="0"/>
        <w:spacing w:before="0" w:after="0"/>
        <w:jc w:val="left"/>
        <w:rPr>
          <w:shd w:fill="EFECE8" w:val="clear"/>
        </w:rPr>
      </w:pPr>
      <w:r>
        <w:rPr>
          <w:shd w:fill="EFECE8" w:val="clear"/>
        </w:rPr>
        <w:t> </w:t>
      </w:r>
    </w:p>
    <w:tbl>
      <w:tblPr>
        <w:tblW w:w="10205" w:type="dxa"/>
        <w:jc w:val="left"/>
        <w:tblInd w:w="0" w:type="dxa"/>
        <w:tblLayout w:type="fixed"/>
        <w:tblCellMar>
          <w:top w:w="0" w:type="dxa"/>
          <w:left w:w="0" w:type="dxa"/>
          <w:bottom w:w="0" w:type="dxa"/>
          <w:right w:w="0" w:type="dxa"/>
        </w:tblCellMar>
      </w:tblPr>
      <w:tblGrid>
        <w:gridCol w:w="275"/>
        <w:gridCol w:w="60"/>
        <w:gridCol w:w="1685"/>
        <w:gridCol w:w="120"/>
        <w:gridCol w:w="7729"/>
        <w:gridCol w:w="60"/>
        <w:gridCol w:w="276"/>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left"/>
              <w:rPr/>
            </w:pPr>
            <w:r>
              <w:rPr/>
              <w:drawing>
                <wp:inline distT="0" distB="0" distL="0" distR="0">
                  <wp:extent cx="1066800" cy="106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66800" cy="106680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7729" w:type="dxa"/>
            <w:tcBorders/>
            <w:vAlign w:val="center"/>
          </w:tcPr>
          <w:p>
            <w:pPr>
              <w:pStyle w:val="TableContents"/>
              <w:bidi w:val="0"/>
              <w:spacing w:before="0" w:after="283"/>
              <w:jc w:val="left"/>
              <w:rPr>
                <w:b/>
              </w:rPr>
            </w:pPr>
            <w:r>
              <w:rPr>
                <w:b/>
              </w:rPr>
              <w:t>Our mission at TransMedics has always been to expand the utilization of available donor organs for transplantation while delivering the best possible clinical outcomes for our transplant patients. It is indisputable that TransMedics has been successfully delivering on our mission. Today, TransMedics is radically transforming the field of organ transplantation globally and has already played an integral part in saving thousands of lives. Enabled by our disruptive OCS™ technology, comprehensive NOP™ clinical services, and our rapidly growing integrated transplant logistics network, we are doing things today that few thought possible in the organ transplant field few years ago.</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A41F35"/>
          <w:sz w:val="28"/>
        </w:rPr>
      </w:pPr>
      <w:r>
        <w:rPr>
          <w:rFonts w:ascii="arial" w:hAnsi="arial"/>
          <w:b/>
          <w:color w:val="A41F35"/>
          <w:sz w:val="28"/>
        </w:rPr>
        <w:t xml:space="preserve">Dear Fellow Shareholders: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10230" cy="335788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335788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2024 was a remarkable year for TransMedics business and the overall impact on clinical transplantation in the U.S. The tireless efforts of our NOP clinical and surgical team, enabled us to complete over 3,700 U.S. OCS cases in 2024, delivering $441.5 million in total revenue, and representing 83% year-over-year growth. We continued to expand our market share in liver and heart markets, built out our world class logistics command center in our headquarters in Andover, Massachusetts, added several new aviation hubs, and critically, for the second consecutive year, played an integral role in driving growth in overall national liver, heart and lung transplant volumes in the U.S. </w:t>
                            </w:r>
                          </w:p>
                          <w:p>
                            <w:pPr>
                              <w:pStyle w:val="TextBody"/>
                              <w:bidi w:val="0"/>
                              <w:spacing w:before="160" w:after="0"/>
                              <w:jc w:val="left"/>
                              <w:rPr>
                                <w:rFonts w:ascii="arial" w:hAnsi="arial"/>
                                <w:sz w:val="18"/>
                              </w:rPr>
                            </w:pPr>
                            <w:r>
                              <w:rPr>
                                <w:rFonts w:ascii="arial" w:hAnsi="arial"/>
                                <w:sz w:val="18"/>
                              </w:rPr>
                              <w:t xml:space="preserve">Financially, we achieved operating profitability for the first time in 2024, generating $37.5 million in operating profit and $35.5 million in net income for the full year while continuing to invest significantly in future growth. Importantly, 2024 also marked the first year of positive cashflow from operating activities, as we generated $48.8 million for the full year. These milestones reflect our ability to scale efficiently while driving meaningful financial improvement. </w:t>
                            </w:r>
                          </w:p>
                          <w:p>
                            <w:pPr>
                              <w:pStyle w:val="TextBody"/>
                              <w:bidi w:val="0"/>
                              <w:spacing w:before="160" w:after="0"/>
                              <w:jc w:val="left"/>
                              <w:rPr>
                                <w:rFonts w:ascii="arial" w:hAnsi="arial"/>
                                <w:sz w:val="18"/>
                              </w:rPr>
                            </w:pPr>
                            <w:r>
                              <w:rPr>
                                <w:rFonts w:ascii="arial" w:hAnsi="arial"/>
                                <w:sz w:val="18"/>
                              </w:rPr>
                              <w:t xml:space="preserve">Looking into the future, we are thrilled by the significant growth opportunities in front of us. We are launching two strategic next-gen clinical programs in heart and lung transplantation aiming at expanding the utilization of both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2024 was a remarkable year for TransMedics business and the overall impact on clinical transplantation in the U.S. The tireless efforts of our NOP clinical and surgical team, enabled us to complete over 3,700 U.S. OCS cases in 2024, delivering $441.5 million in total revenue, and representing 83% year-over-year growth. We continued to expand our market share in liver and heart markets, built out our world class logistics command center in our headquarters in Andover, Massachusetts, added several new aviation hubs, and critically, for the second consecutive year, played an integral role in driving growth in overall national liver, heart and lung transplant volumes in the U.S. </w:t>
                      </w:r>
                    </w:p>
                    <w:p>
                      <w:pPr>
                        <w:pStyle w:val="TextBody"/>
                        <w:bidi w:val="0"/>
                        <w:spacing w:before="160" w:after="0"/>
                        <w:jc w:val="left"/>
                        <w:rPr>
                          <w:rFonts w:ascii="arial" w:hAnsi="arial"/>
                          <w:sz w:val="18"/>
                        </w:rPr>
                      </w:pPr>
                      <w:r>
                        <w:rPr>
                          <w:rFonts w:ascii="arial" w:hAnsi="arial"/>
                          <w:sz w:val="18"/>
                        </w:rPr>
                        <w:t xml:space="preserve">Financially, we achieved operating profitability for the first time in 2024, generating $37.5 million in operating profit and $35.5 million in net income for the full year while continuing to invest significantly in future growth. Importantly, 2024 also marked the first year of positive cashflow from operating activities, as we generated $48.8 million for the full year. These milestones reflect our ability to scale efficiently while driving meaningful financial improvement. </w:t>
                      </w:r>
                    </w:p>
                    <w:p>
                      <w:pPr>
                        <w:pStyle w:val="TextBody"/>
                        <w:bidi w:val="0"/>
                        <w:spacing w:before="160" w:after="0"/>
                        <w:jc w:val="left"/>
                        <w:rPr>
                          <w:rFonts w:ascii="arial" w:hAnsi="arial"/>
                          <w:sz w:val="18"/>
                        </w:rPr>
                      </w:pPr>
                      <w:r>
                        <w:rPr>
                          <w:rFonts w:ascii="arial" w:hAnsi="arial"/>
                          <w:sz w:val="18"/>
                        </w:rPr>
                        <w:t xml:space="preserve">Looking into the future, we are thrilled by the significant growth opportunities in front of us. We are launching two strategic next-gen clinical programs in heart and lung transplantation aiming at expanding the utilization of both </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75000" cy="3644265"/>
                <wp:effectExtent l="0" t="0" r="0" b="0"/>
                <wp:wrapSquare wrapText="right"/>
                <wp:docPr id="4" name="Frame2"/>
                <a:graphic xmlns:a="http://schemas.openxmlformats.org/drawingml/2006/main">
                  <a:graphicData uri="http://schemas.microsoft.com/office/word/2010/wordprocessingShape">
                    <wps:wsp>
                      <wps:cNvSpPr txBox="1"/>
                      <wps:spPr>
                        <a:xfrm>
                          <a:off x="0" y="0"/>
                          <a:ext cx="3175000" cy="364426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DBD and DCD donors to increase the overall heart and lung transplant markets. We are also investing heavily in our next generation OCS technology platform that we expect will help us scale our clinical capabilities to go well beyond our stated goal of completing 10,000 U.S. NOP transplants in 2028. Finally, we are planning to continue to strategically invest in our business infrastructure and manufacturing capabilities to ensure scalability while maintaining quality and reducing supply chain risks. </w:t>
                            </w:r>
                          </w:p>
                          <w:p>
                            <w:pPr>
                              <w:pStyle w:val="TextBody"/>
                              <w:bidi w:val="0"/>
                              <w:spacing w:before="160" w:after="0"/>
                              <w:jc w:val="left"/>
                              <w:rPr>
                                <w:rFonts w:ascii="arial" w:hAnsi="arial"/>
                                <w:sz w:val="18"/>
                              </w:rPr>
                            </w:pPr>
                            <w:r>
                              <w:rPr>
                                <w:rFonts w:ascii="arial" w:hAnsi="arial"/>
                                <w:sz w:val="18"/>
                              </w:rPr>
                              <w:t xml:space="preserve">In conclusion, we are very proud by our success to-date, however, we strongly believe that we are laying a solid foundation for continued growth into the foreseeable future. It is important to acknowledge the hard work and dedication of our world-class team. I would also like to express my sincere gratitude to our clinical users, shareholders and Board of Directors for their continued support. We expect 2025 to be a transformative year for TransMedics and look forward to the opportunities ahead. </w:t>
                            </w:r>
                          </w:p>
                          <w:p>
                            <w:pPr>
                              <w:pStyle w:val="TextBody"/>
                              <w:bidi w:val="0"/>
                              <w:spacing w:before="160" w:after="0"/>
                              <w:jc w:val="left"/>
                              <w:rPr>
                                <w:rFonts w:ascii="arial" w:hAnsi="arial"/>
                                <w:sz w:val="18"/>
                              </w:rPr>
                            </w:pPr>
                            <w:r>
                              <w:rPr>
                                <w:rFonts w:ascii="arial" w:hAnsi="arial"/>
                                <w:sz w:val="18"/>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374775" cy="47244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374775" cy="472440"/>
                                          </a:xfrm>
                                          <a:prstGeom prst="rect">
                                            <a:avLst/>
                                          </a:prstGeom>
                                        </pic:spPr>
                                      </pic:pic>
                                    </a:graphicData>
                                  </a:graphic>
                                </wp:inline>
                              </w:drawing>
                            </w:r>
                            <w:r>
                              <w:rPr/>
                              <w:t xml:space="preserve"> </w:t>
                            </w:r>
                          </w:p>
                          <w:p>
                            <w:pPr>
                              <w:pStyle w:val="TextBody"/>
                              <w:bidi w:val="0"/>
                              <w:spacing w:before="0" w:after="0"/>
                              <w:jc w:val="left"/>
                              <w:rPr>
                                <w:rFonts w:ascii="arial" w:hAnsi="arial"/>
                                <w:b/>
                                <w:sz w:val="18"/>
                              </w:rPr>
                            </w:pPr>
                            <w:r>
                              <w:rPr>
                                <w:rFonts w:ascii="arial" w:hAnsi="arial"/>
                                <w:b/>
                                <w:sz w:val="18"/>
                              </w:rPr>
                              <w:t xml:space="preserve">Waleed Hassanein, M.D. </w:t>
                            </w:r>
                          </w:p>
                          <w:p>
                            <w:pPr>
                              <w:pStyle w:val="TextBody"/>
                              <w:bidi w:val="0"/>
                              <w:spacing w:before="0" w:after="0"/>
                              <w:jc w:val="left"/>
                              <w:rPr>
                                <w:rFonts w:ascii="arial" w:hAnsi="arial"/>
                                <w:sz w:val="18"/>
                              </w:rPr>
                            </w:pPr>
                            <w:r>
                              <w:rPr>
                                <w:rFonts w:ascii="arial" w:hAnsi="arial"/>
                                <w:sz w:val="18"/>
                              </w:rPr>
                              <w:t xml:space="preserve">Founder, President and Chief Executive Officer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6.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DBD and DCD donors to increase the overall heart and lung transplant markets. We are also investing heavily in our next generation OCS technology platform that we expect will help us scale our clinical capabilities to go well beyond our stated goal of completing 10,000 U.S. NOP transplants in 2028. Finally, we are planning to continue to strategically invest in our business infrastructure and manufacturing capabilities to ensure scalability while maintaining quality and reducing supply chain risks. </w:t>
                      </w:r>
                    </w:p>
                    <w:p>
                      <w:pPr>
                        <w:pStyle w:val="TextBody"/>
                        <w:bidi w:val="0"/>
                        <w:spacing w:before="160" w:after="0"/>
                        <w:jc w:val="left"/>
                        <w:rPr>
                          <w:rFonts w:ascii="arial" w:hAnsi="arial"/>
                          <w:sz w:val="18"/>
                        </w:rPr>
                      </w:pPr>
                      <w:r>
                        <w:rPr>
                          <w:rFonts w:ascii="arial" w:hAnsi="arial"/>
                          <w:sz w:val="18"/>
                        </w:rPr>
                        <w:t xml:space="preserve">In conclusion, we are very proud by our success to-date, however, we strongly believe that we are laying a solid foundation for continued growth into the foreseeable future. It is important to acknowledge the hard work and dedication of our world-class team. I would also like to express my sincere gratitude to our clinical users, shareholders and Board of Directors for their continued support. We expect 2025 to be a transformative year for TransMedics and look forward to the opportunities ahead. </w:t>
                      </w:r>
                    </w:p>
                    <w:p>
                      <w:pPr>
                        <w:pStyle w:val="TextBody"/>
                        <w:bidi w:val="0"/>
                        <w:spacing w:before="160" w:after="0"/>
                        <w:jc w:val="left"/>
                        <w:rPr>
                          <w:rFonts w:ascii="arial" w:hAnsi="arial"/>
                          <w:sz w:val="18"/>
                        </w:rPr>
                      </w:pPr>
                      <w:r>
                        <w:rPr>
                          <w:rFonts w:ascii="arial" w:hAnsi="arial"/>
                          <w:sz w:val="18"/>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1374775" cy="47244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1374775" cy="472440"/>
                                    </a:xfrm>
                                    <a:prstGeom prst="rect">
                                      <a:avLst/>
                                    </a:prstGeom>
                                  </pic:spPr>
                                </pic:pic>
                              </a:graphicData>
                            </a:graphic>
                          </wp:inline>
                        </w:drawing>
                      </w:r>
                      <w:r>
                        <w:rPr/>
                        <w:t xml:space="preserve"> </w:t>
                      </w:r>
                    </w:p>
                    <w:p>
                      <w:pPr>
                        <w:pStyle w:val="TextBody"/>
                        <w:bidi w:val="0"/>
                        <w:spacing w:before="0" w:after="0"/>
                        <w:jc w:val="left"/>
                        <w:rPr>
                          <w:rFonts w:ascii="arial" w:hAnsi="arial"/>
                          <w:b/>
                          <w:sz w:val="18"/>
                        </w:rPr>
                      </w:pPr>
                      <w:r>
                        <w:rPr>
                          <w:rFonts w:ascii="arial" w:hAnsi="arial"/>
                          <w:b/>
                          <w:sz w:val="18"/>
                        </w:rPr>
                        <w:t xml:space="preserve">Waleed Hassanein, M.D. </w:t>
                      </w:r>
                    </w:p>
                    <w:p>
                      <w:pPr>
                        <w:pStyle w:val="TextBody"/>
                        <w:bidi w:val="0"/>
                        <w:spacing w:before="0" w:after="0"/>
                        <w:jc w:val="left"/>
                        <w:rPr>
                          <w:rFonts w:ascii="arial" w:hAnsi="arial"/>
                          <w:sz w:val="18"/>
                        </w:rPr>
                      </w:pPr>
                      <w:r>
                        <w:rPr>
                          <w:rFonts w:ascii="arial" w:hAnsi="arial"/>
                          <w:sz w:val="18"/>
                        </w:rPr>
                        <w:t xml:space="preserve">Founder, President and Chief Executive Officer </w:t>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r>
        <w:rPr>
          <w:rFonts w:ascii="arial" w:hAnsi="arial"/>
          <w:b/>
          <w:color w:val="A41F35"/>
          <w:sz w:val="56"/>
        </w:rPr>
        <w:t xml:space="preserve">Notice of Annual Meeting of Shareholders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1820"/>
        <w:gridCol w:w="60"/>
        <w:gridCol w:w="260"/>
        <w:gridCol w:w="60"/>
        <w:gridCol w:w="3530"/>
        <w:gridCol w:w="60"/>
        <w:gridCol w:w="260"/>
        <w:gridCol w:w="60"/>
        <w:gridCol w:w="128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6" w:space="0" w:color="A41F35"/>
              <w:left w:val="single" w:sz="6" w:space="0" w:color="A41F35"/>
              <w:bottom w:val="single" w:sz="6" w:space="0" w:color="A41F35"/>
              <w:right w:val="single" w:sz="6" w:space="0" w:color="A41F35"/>
            </w:tcBorders>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762000" cy="7588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6"/>
                          <a:stretch>
                            <a:fillRect/>
                          </a:stretch>
                        </pic:blipFill>
                        <pic:spPr bwMode="auto">
                          <a:xfrm>
                            <a:off x="0" y="0"/>
                            <a:ext cx="762000" cy="758825"/>
                          </a:xfrm>
                          <a:prstGeom prst="rect">
                            <a:avLst/>
                          </a:prstGeom>
                        </pic:spPr>
                      </pic:pic>
                    </a:graphicData>
                  </a:graphic>
                </wp:inline>
              </w:drawing>
            </w:r>
            <w:r>
              <w:rPr/>
              <w:t xml:space="preserve"> </w:t>
            </w:r>
          </w:p>
          <w:p>
            <w:pPr>
              <w:pStyle w:val="TableContents"/>
              <w:bidi w:val="0"/>
              <w:spacing w:before="0" w:after="0"/>
              <w:jc w:val="center"/>
              <w:rPr>
                <w:rFonts w:ascii="arial" w:hAnsi="arial"/>
                <w:b/>
                <w:sz w:val="18"/>
              </w:rPr>
            </w:pPr>
            <w:r>
              <w:rPr>
                <w:rFonts w:ascii="arial" w:hAnsi="arial"/>
                <w:b/>
                <w:sz w:val="18"/>
              </w:rPr>
              <w:t>Date and Time:</w:t>
            </w:r>
          </w:p>
          <w:p>
            <w:pPr>
              <w:pStyle w:val="TableContents"/>
              <w:bidi w:val="0"/>
              <w:spacing w:before="0" w:after="0"/>
              <w:jc w:val="center"/>
              <w:rPr>
                <w:rFonts w:ascii="arial" w:hAnsi="arial"/>
                <w:sz w:val="16"/>
              </w:rPr>
            </w:pPr>
            <w:r>
              <w:rPr>
                <w:rFonts w:ascii="arial" w:hAnsi="arial"/>
                <w:sz w:val="16"/>
              </w:rPr>
              <w:t>Thursday, May 22, 2025</w:t>
            </w:r>
          </w:p>
          <w:p>
            <w:pPr>
              <w:pStyle w:val="TableContents"/>
              <w:bidi w:val="0"/>
              <w:spacing w:before="0" w:after="0"/>
              <w:jc w:val="center"/>
              <w:rPr>
                <w:rFonts w:ascii="arial" w:hAnsi="arial"/>
                <w:sz w:val="16"/>
              </w:rPr>
            </w:pPr>
            <w:r>
              <w:rPr>
                <w:rFonts w:ascii="arial" w:hAnsi="arial"/>
                <w:sz w:val="16"/>
              </w:rPr>
              <w:t>8:00 A.M., Eastern Time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top w:val="single" w:sz="6" w:space="0" w:color="A41F35"/>
              <w:left w:val="single" w:sz="6" w:space="0" w:color="A41F35"/>
              <w:bottom w:val="single" w:sz="6" w:space="0" w:color="A41F35"/>
            </w:tcBorders>
            <w:tcMar>
              <w:top w:w="28" w:type="dxa"/>
              <w:left w:w="28" w:type="dxa"/>
              <w:bottom w:w="28" w:type="dxa"/>
            </w:tcMar>
            <w:vAlign w:val="center"/>
          </w:tcPr>
          <w:p>
            <w:pPr>
              <w:pStyle w:val="TableContents"/>
              <w:bidi w:val="0"/>
              <w:spacing w:before="0" w:after="283"/>
              <w:jc w:val="left"/>
              <w:rPr/>
            </w:pPr>
            <w:r>
              <w:rPr/>
              <w:t> </w:t>
            </w:r>
          </w:p>
        </w:tc>
        <w:tc>
          <w:tcPr>
            <w:tcW w:w="3530" w:type="dxa"/>
            <w:tcBorders>
              <w:top w:val="single" w:sz="6" w:space="0" w:color="A41F35"/>
              <w:bottom w:val="single" w:sz="6" w:space="0" w:color="A41F35"/>
              <w:right w:val="single" w:sz="6" w:space="0" w:color="A41F35"/>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956945" cy="80137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7"/>
                          <a:stretch>
                            <a:fillRect/>
                          </a:stretch>
                        </pic:blipFill>
                        <pic:spPr bwMode="auto">
                          <a:xfrm>
                            <a:off x="0" y="0"/>
                            <a:ext cx="956945" cy="801370"/>
                          </a:xfrm>
                          <a:prstGeom prst="rect">
                            <a:avLst/>
                          </a:prstGeom>
                        </pic:spPr>
                      </pic:pic>
                    </a:graphicData>
                  </a:graphic>
                </wp:inline>
              </w:drawing>
            </w:r>
            <w:r>
              <w:rPr/>
              <w:t xml:space="preserve"> </w:t>
            </w:r>
          </w:p>
          <w:p>
            <w:pPr>
              <w:pStyle w:val="TableContents"/>
              <w:bidi w:val="0"/>
              <w:spacing w:before="0" w:after="0"/>
              <w:jc w:val="center"/>
              <w:rPr>
                <w:rFonts w:ascii="arial" w:hAnsi="arial"/>
                <w:b/>
                <w:sz w:val="18"/>
              </w:rPr>
            </w:pPr>
            <w:r>
              <w:rPr>
                <w:rFonts w:ascii="arial" w:hAnsi="arial"/>
                <w:b/>
                <w:sz w:val="18"/>
              </w:rPr>
              <w:t>Location:</w:t>
            </w:r>
          </w:p>
          <w:p>
            <w:pPr>
              <w:pStyle w:val="TableContents"/>
              <w:bidi w:val="0"/>
              <w:spacing w:before="0" w:after="0"/>
              <w:jc w:val="center"/>
              <w:rPr>
                <w:rFonts w:ascii="arial" w:hAnsi="arial"/>
                <w:sz w:val="16"/>
              </w:rPr>
            </w:pPr>
            <w:r>
              <w:rPr>
                <w:rFonts w:ascii="arial" w:hAnsi="arial"/>
                <w:sz w:val="16"/>
              </w:rPr>
              <w:t>www.virtualshareholdermeeting.com/TMDX2025</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top w:val="single" w:sz="6" w:space="0" w:color="A41F35"/>
              <w:left w:val="single" w:sz="6" w:space="0" w:color="A41F35"/>
              <w:bottom w:val="single" w:sz="6" w:space="0" w:color="A41F35"/>
            </w:tcBorders>
            <w:tcMar>
              <w:top w:w="28" w:type="dxa"/>
              <w:left w:w="28" w:type="dxa"/>
              <w:bottom w:w="28" w:type="dxa"/>
            </w:tcMar>
            <w:vAlign w:val="center"/>
          </w:tcPr>
          <w:p>
            <w:pPr>
              <w:pStyle w:val="TableContents"/>
              <w:bidi w:val="0"/>
              <w:spacing w:before="0" w:after="283"/>
              <w:jc w:val="left"/>
              <w:rPr/>
            </w:pPr>
            <w:r>
              <w:rPr/>
              <w:t> </w:t>
            </w:r>
          </w:p>
        </w:tc>
        <w:tc>
          <w:tcPr>
            <w:tcW w:w="1280" w:type="dxa"/>
            <w:tcBorders>
              <w:top w:val="single" w:sz="6" w:space="0" w:color="A41F35"/>
              <w:bottom w:val="single" w:sz="6" w:space="0" w:color="A41F35"/>
              <w:right w:val="single" w:sz="6" w:space="0" w:color="A41F35"/>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765175" cy="7651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8"/>
                          <a:stretch>
                            <a:fillRect/>
                          </a:stretch>
                        </pic:blipFill>
                        <pic:spPr bwMode="auto">
                          <a:xfrm>
                            <a:off x="0" y="0"/>
                            <a:ext cx="765175" cy="765175"/>
                          </a:xfrm>
                          <a:prstGeom prst="rect">
                            <a:avLst/>
                          </a:prstGeom>
                        </pic:spPr>
                      </pic:pic>
                    </a:graphicData>
                  </a:graphic>
                </wp:inline>
              </w:drawing>
            </w:r>
            <w:r>
              <w:rPr/>
              <w:t xml:space="preserve"> </w:t>
            </w:r>
          </w:p>
          <w:p>
            <w:pPr>
              <w:pStyle w:val="TableContents"/>
              <w:bidi w:val="0"/>
              <w:spacing w:before="0" w:after="0"/>
              <w:jc w:val="center"/>
              <w:rPr>
                <w:rFonts w:ascii="arial" w:hAnsi="arial"/>
                <w:b/>
                <w:sz w:val="18"/>
              </w:rPr>
            </w:pPr>
            <w:r>
              <w:rPr>
                <w:rFonts w:ascii="arial" w:hAnsi="arial"/>
                <w:b/>
                <w:sz w:val="18"/>
              </w:rPr>
              <w:t>Record Date:</w:t>
            </w:r>
          </w:p>
          <w:p>
            <w:pPr>
              <w:pStyle w:val="TableContents"/>
              <w:bidi w:val="0"/>
              <w:spacing w:before="0" w:after="0"/>
              <w:jc w:val="center"/>
              <w:rPr>
                <w:rFonts w:ascii="arial" w:hAnsi="arial"/>
                <w:sz w:val="16"/>
              </w:rPr>
            </w:pPr>
            <w:r>
              <w:rPr>
                <w:rFonts w:ascii="arial" w:hAnsi="arial"/>
                <w:sz w:val="16"/>
              </w:rPr>
              <w:t>March 25, 2025</w:t>
            </w:r>
          </w:p>
          <w:p>
            <w:pPr>
              <w:pStyle w:val="TableContents"/>
              <w:bidi w:val="0"/>
              <w:spacing w:before="0" w:after="20"/>
              <w:jc w:val="left"/>
              <w:rPr/>
            </w:pPr>
            <w:r>
              <w:rPr/>
              <w:t>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Purposes of the Meeting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7265"/>
      </w:tblGrid>
      <w:tr>
        <w:trPr/>
        <w:tc>
          <w:tcPr>
            <w:tcW w:w="215" w:type="dxa"/>
            <w:tcBorders/>
            <w:vAlign w:val="center"/>
          </w:tcPr>
          <w:p>
            <w:pPr>
              <w:pStyle w:val="TableContents"/>
              <w:bidi w:val="0"/>
              <w:spacing w:before="0" w:after="283"/>
              <w:jc w:val="left"/>
              <w:rPr/>
            </w:pPr>
            <w:r>
              <w:rPr/>
              <w:t>1.</w:t>
            </w:r>
          </w:p>
        </w:tc>
        <w:tc>
          <w:tcPr>
            <w:tcW w:w="7265" w:type="dxa"/>
            <w:tcBorders/>
            <w:vAlign w:val="center"/>
          </w:tcPr>
          <w:p>
            <w:pPr>
              <w:pStyle w:val="TableContents"/>
              <w:bidi w:val="0"/>
              <w:spacing w:before="0" w:after="0"/>
              <w:jc w:val="left"/>
              <w:rPr>
                <w:rFonts w:ascii="arial" w:hAnsi="arial"/>
                <w:sz w:val="18"/>
              </w:rPr>
            </w:pPr>
            <w:r>
              <w:rPr>
                <w:rFonts w:ascii="arial" w:hAnsi="arial"/>
                <w:sz w:val="18"/>
              </w:rPr>
              <w:t xml:space="preserve">To elect eight (8) directors, each to serve until the 2026 Annual Meeting of Shareholders;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215"/>
        <w:gridCol w:w="7880"/>
      </w:tblGrid>
      <w:tr>
        <w:trPr/>
        <w:tc>
          <w:tcPr>
            <w:tcW w:w="215" w:type="dxa"/>
            <w:tcBorders/>
            <w:vAlign w:val="center"/>
          </w:tcPr>
          <w:p>
            <w:pPr>
              <w:pStyle w:val="TableContents"/>
              <w:bidi w:val="0"/>
              <w:spacing w:before="0" w:after="283"/>
              <w:jc w:val="left"/>
              <w:rPr/>
            </w:pPr>
            <w:r>
              <w:rPr/>
              <w:t>2.</w:t>
            </w:r>
          </w:p>
        </w:tc>
        <w:tc>
          <w:tcPr>
            <w:tcW w:w="7880" w:type="dxa"/>
            <w:tcBorders/>
            <w:vAlign w:val="center"/>
          </w:tcPr>
          <w:p>
            <w:pPr>
              <w:pStyle w:val="TableContents"/>
              <w:bidi w:val="0"/>
              <w:spacing w:before="0" w:after="0"/>
              <w:jc w:val="left"/>
              <w:rPr>
                <w:rFonts w:ascii="arial" w:hAnsi="arial"/>
                <w:sz w:val="18"/>
              </w:rPr>
            </w:pPr>
            <w:r>
              <w:rPr>
                <w:rFonts w:ascii="arial" w:hAnsi="arial"/>
                <w:sz w:val="18"/>
              </w:rPr>
              <w:t xml:space="preserve">To approve, on a non-binding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PricewaterhouseCoopers LLP as our independent registered public accounting firm for our fiscal year ending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0"/>
              <w:jc w:val="left"/>
              <w:rPr>
                <w:rFonts w:ascii="arial" w:hAnsi="arial"/>
                <w:sz w:val="18"/>
              </w:rPr>
            </w:pPr>
            <w:r>
              <w:rPr>
                <w:rFonts w:ascii="arial" w:hAnsi="arial"/>
                <w:sz w:val="18"/>
              </w:rPr>
              <w:t xml:space="preserve">To transact such other business as may properly come before the meeting or any adjournments and postponements thereof.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Voting </w:t>
      </w:r>
    </w:p>
    <w:p>
      <w:pPr>
        <w:pStyle w:val="TextBody"/>
        <w:bidi w:val="0"/>
        <w:spacing w:before="120" w:after="0"/>
        <w:jc w:val="left"/>
        <w:rPr>
          <w:rFonts w:ascii="arial" w:hAnsi="arial"/>
          <w:sz w:val="18"/>
        </w:rPr>
      </w:pPr>
      <w:r>
        <w:rPr>
          <w:rFonts w:ascii="arial" w:hAnsi="arial"/>
          <w:sz w:val="18"/>
        </w:rPr>
        <w:t xml:space="preserve">Whether you plan to attend the Annual Meeting or not, it is important that you cast your vote by remote communication at the Annual Meeting or by proxy. You may vote over the Internet, telephone or by mail. You are urged to vote in accordance with the instructions set forth in the Proxy Statement. We encourage you to vote by proxy so that your shares will be represented and voted at the Annual Meeting, whether or not you can attend. You will need the 16-digit control number included with the Notice, on your proxy card, or the instructions that accompany your proxy materials to attend the Annual Meeting. </w:t>
      </w:r>
    </w:p>
    <w:p>
      <w:pPr>
        <w:pStyle w:val="TextBody"/>
        <w:bidi w:val="0"/>
        <w:spacing w:before="0" w:after="0"/>
        <w:jc w:val="left"/>
        <w:rPr/>
      </w:pPr>
      <w:r>
        <w:rPr/>
        <w:t> </w:t>
      </w:r>
    </w:p>
    <w:p>
      <w:pPr>
        <w:pStyle w:val="TextBody"/>
        <w:bidi w:val="0"/>
        <w:spacing w:before="200" w:after="0"/>
        <w:jc w:val="center"/>
        <w:rPr>
          <w:rFonts w:ascii="arial" w:hAnsi="arial"/>
          <w:b/>
          <w:sz w:val="18"/>
          <w:shd w:fill="EFECE8" w:val="clear"/>
        </w:rPr>
      </w:pPr>
      <w:r>
        <w:rPr>
          <w:rFonts w:ascii="arial" w:hAnsi="arial"/>
          <w:b/>
          <w:sz w:val="18"/>
          <w:shd w:fill="EFECE8" w:val="clear"/>
        </w:rPr>
        <w:t xml:space="preserve">Important Notice Regarding the Availability of Proxy Materials for the Annual Meeting </w:t>
      </w:r>
    </w:p>
    <w:p>
      <w:pPr>
        <w:pStyle w:val="TextBody"/>
        <w:bidi w:val="0"/>
        <w:spacing w:before="120" w:after="0"/>
        <w:jc w:val="left"/>
        <w:rPr>
          <w:rFonts w:ascii="arial" w:hAnsi="arial"/>
          <w:sz w:val="18"/>
          <w:shd w:fill="EFECE8" w:val="clear"/>
        </w:rPr>
      </w:pPr>
      <w:r>
        <w:rPr>
          <w:rFonts w:ascii="arial" w:hAnsi="arial"/>
          <w:sz w:val="18"/>
          <w:shd w:fill="EFECE8" w:val="clear"/>
        </w:rPr>
        <w:t xml:space="preserve">Under Securities and Exchange Commission rules that allow companies to furnish proxy materials to shareholders over the Internet, we have elected to make our proxy materials available to all of our shareholders over the Internet. We will be able to provide shareholders with the information they need, while at the same time conserving natural resources and lowering the cost of delivery. </w:t>
      </w:r>
      <w:r>
        <w:rPr>
          <w:rFonts w:ascii="arial" w:hAnsi="arial"/>
          <w:b/>
          <w:sz w:val="18"/>
          <w:shd w:fill="EFECE8" w:val="clear"/>
        </w:rPr>
        <w:t>On or about April</w:t>
      </w:r>
      <w:r>
        <w:rPr>
          <w:rFonts w:ascii="arial" w:hAnsi="arial"/>
          <w:sz w:val="18"/>
          <w:shd w:fill="EFECE8" w:val="clear"/>
        </w:rPr>
        <w:t> </w:t>
      </w:r>
      <w:r>
        <w:rPr>
          <w:rFonts w:ascii="arial" w:hAnsi="arial"/>
          <w:b/>
          <w:sz w:val="18"/>
          <w:shd w:fill="EFECE8" w:val="clear"/>
        </w:rPr>
        <w:t xml:space="preserve">10, 2025, we will commence sending the Notice of Internet Availability of Proxy Materials (the “Notice”) to all shareholders entitled to vote at the Annual Meeting. </w:t>
      </w:r>
      <w:r>
        <w:rPr>
          <w:rFonts w:ascii="arial" w:hAnsi="arial"/>
          <w:sz w:val="18"/>
          <w:shd w:fill="EFECE8" w:val="clear"/>
        </w:rPr>
        <w:t xml:space="preserve">The Notice also provides instructions on how to vote online or vote by phone and includes instructions on how to receive a paper copy of the proxy materials by mail. </w:t>
      </w:r>
    </w:p>
    <w:p>
      <w:pPr>
        <w:pStyle w:val="TextBody"/>
        <w:bidi w:val="0"/>
        <w:spacing w:before="160" w:after="0"/>
        <w:jc w:val="left"/>
        <w:rPr>
          <w:rFonts w:ascii="arial" w:hAnsi="arial"/>
          <w:sz w:val="18"/>
        </w:rPr>
      </w:pPr>
      <w:r>
        <w:rPr>
          <w:rFonts w:ascii="arial" w:hAnsi="arial"/>
          <w:sz w:val="18"/>
        </w:rPr>
        <w:t xml:space="preserve">The accompanying Proxy Statement and our 2024 Annual Report on Form 10-K for the fiscal year ended December 31, 2024, which includes our audited financial statements, are also available for viewing, printing and downloading at </w:t>
      </w:r>
      <w:r>
        <w:rPr>
          <w:rFonts w:ascii="arial" w:hAnsi="arial"/>
          <w:sz w:val="18"/>
          <w:u w:val="single"/>
        </w:rPr>
        <w:t>http://investors.transmedics.com/</w:t>
      </w:r>
      <w:r>
        <w:rPr>
          <w:rFonts w:ascii="arial" w:hAnsi="arial"/>
          <w:sz w:val="18"/>
        </w:rPr>
        <w:t xml:space="preserve"> under the Investors/Financial Information page and at </w:t>
      </w:r>
      <w:r>
        <w:rPr>
          <w:rFonts w:ascii="arial" w:hAnsi="arial"/>
          <w:sz w:val="18"/>
          <w:u w:val="single"/>
        </w:rPr>
        <w:t>http://www.proxyvote.com</w:t>
      </w:r>
      <w:r>
        <w:rPr>
          <w:rFonts w:ascii="arial" w:hAnsi="arial"/>
          <w:sz w:val="18"/>
        </w:rPr>
        <w:t xml:space="preserve">. </w:t>
      </w:r>
    </w:p>
    <w:p>
      <w:pPr>
        <w:pStyle w:val="TextBody"/>
        <w:bidi w:val="0"/>
        <w:spacing w:before="160" w:after="0"/>
        <w:jc w:val="left"/>
        <w:rPr>
          <w:rFonts w:ascii="arial" w:hAnsi="arial"/>
          <w:b/>
          <w:sz w:val="18"/>
        </w:rPr>
      </w:pPr>
      <w:r>
        <w:rPr>
          <w:rFonts w:ascii="arial" w:hAnsi="arial"/>
          <w:b/>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698625" cy="52260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9"/>
                    <a:stretch>
                      <a:fillRect/>
                    </a:stretch>
                  </pic:blipFill>
                  <pic:spPr bwMode="auto">
                    <a:xfrm>
                      <a:off x="0" y="0"/>
                      <a:ext cx="1698625" cy="522605"/>
                    </a:xfrm>
                    <a:prstGeom prst="rect">
                      <a:avLst/>
                    </a:prstGeom>
                  </pic:spPr>
                </pic:pic>
              </a:graphicData>
            </a:graphic>
          </wp:inline>
        </w:drawing>
      </w:r>
      <w:r>
        <w:rPr/>
        <w:t xml:space="preserve"> </w:t>
      </w:r>
    </w:p>
    <w:p>
      <w:pPr>
        <w:pStyle w:val="TextBody"/>
        <w:bidi w:val="0"/>
        <w:spacing w:before="0" w:after="0"/>
        <w:jc w:val="left"/>
        <w:rPr>
          <w:rFonts w:ascii="arial" w:hAnsi="arial"/>
          <w:b/>
          <w:sz w:val="18"/>
        </w:rPr>
      </w:pPr>
      <w:r>
        <w:rPr>
          <w:rFonts w:ascii="arial" w:hAnsi="arial"/>
          <w:b/>
          <w:sz w:val="18"/>
        </w:rPr>
        <w:t xml:space="preserve">Anil Ranganath </w:t>
      </w:r>
    </w:p>
    <w:p>
      <w:pPr>
        <w:pStyle w:val="TextBody"/>
        <w:bidi w:val="0"/>
        <w:spacing w:before="0" w:after="0"/>
        <w:jc w:val="left"/>
        <w:rPr>
          <w:rFonts w:ascii="arial" w:hAnsi="arial"/>
          <w:b/>
          <w:sz w:val="18"/>
        </w:rPr>
      </w:pPr>
      <w:r>
        <w:rPr>
          <w:rFonts w:ascii="arial" w:hAnsi="arial"/>
          <w:b/>
          <w:sz w:val="18"/>
        </w:rPr>
        <w:t xml:space="preserve">Senior Vice President, General Counsel and Corporate Secretary </w:t>
      </w:r>
    </w:p>
    <w:p>
      <w:pPr>
        <w:pStyle w:val="TextBody"/>
        <w:bidi w:val="0"/>
        <w:spacing w:before="160" w:after="0"/>
        <w:jc w:val="left"/>
        <w:rPr>
          <w:rFonts w:ascii="arial" w:hAnsi="arial"/>
          <w:sz w:val="18"/>
        </w:rPr>
      </w:pPr>
      <w:r>
        <w:rPr>
          <w:rFonts w:ascii="arial" w:hAnsi="arial"/>
          <w:sz w:val="18"/>
        </w:rPr>
        <w:t xml:space="preserve">Andover, MA </w:t>
      </w:r>
    </w:p>
    <w:p>
      <w:pPr>
        <w:pStyle w:val="TextBody"/>
        <w:bidi w:val="0"/>
        <w:spacing w:before="0" w:after="0"/>
        <w:jc w:val="left"/>
        <w:rPr>
          <w:rFonts w:ascii="arial" w:hAnsi="arial"/>
          <w:sz w:val="18"/>
        </w:rPr>
      </w:pPr>
      <w:r>
        <w:rPr>
          <w:rFonts w:ascii="arial" w:hAnsi="arial"/>
          <w:sz w:val="18"/>
        </w:rPr>
        <w:t xml:space="preserve">April 10,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 w:name="toc"/>
      <w:bookmarkEnd w:id="2"/>
      <w:r>
        <w:rPr>
          <w:rFonts w:ascii="arial" w:hAnsi="arial"/>
          <w:b/>
          <w:color w:val="A41F35"/>
          <w:sz w:val="56"/>
        </w:rPr>
        <w:t xml:space="preserve">Table of Contents </w:t>
      </w:r>
    </w:p>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9065"/>
        <w:gridCol w:w="120"/>
        <w:gridCol w:w="120"/>
        <w:gridCol w:w="260"/>
        <w:gridCol w:w="135"/>
      </w:tblGrid>
      <w:tr>
        <w:trPr/>
        <w:tc>
          <w:tcPr>
            <w:tcW w:w="9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b/>
                <w:color w:val="A41F35"/>
              </w:rPr>
            </w:pPr>
            <w:r>
              <w:rPr>
                <w:b/>
                <w:color w:val="A41F35"/>
              </w:rPr>
              <w:t>Important Notice Regarding the Availability of Proxy Materials</w:t>
            </w:r>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260" w:type="dxa"/>
            <w:tcBorders>
              <w:bottom w:val="single" w:sz="6" w:space="0" w:color="EFECE8"/>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EFECE8"/>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
              <w:r>
                <w:rPr>
                  <w:rStyle w:val="InternetLink"/>
                  <w:b/>
                  <w:color w:val="A41F35"/>
                </w:rPr>
                <w:t>Proxy Statement Summary</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1</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3">
              <w:r>
                <w:rPr>
                  <w:rStyle w:val="InternetLink"/>
                  <w:b/>
                  <w:color w:val="A41F35"/>
                </w:rPr>
                <w:t xml:space="preserve">Proposal 1 </w:t>
              </w:r>
            </w:hyperlink>
            <w:hyperlink w:anchor="toc803709_3">
              <w:r>
                <w:rPr>
                  <w:rStyle w:val="InternetLink"/>
                </w:rPr>
                <w:t>Election of Directors</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
              <w:r>
                <w:rPr>
                  <w:rStyle w:val="InternetLink"/>
                  <w:rFonts w:ascii="arial" w:hAnsi="arial"/>
                  <w:sz w:val="18"/>
                </w:rPr>
                <w:t>Board Leadership Structure</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4">
              <w:r>
                <w:rPr>
                  <w:rStyle w:val="InternetLink"/>
                  <w:rFonts w:ascii="arial" w:hAnsi="arial"/>
                  <w:sz w:val="18"/>
                </w:rPr>
                <w:t>Director Independence</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5">
              <w:r>
                <w:rPr>
                  <w:rStyle w:val="InternetLink"/>
                  <w:rFonts w:ascii="arial" w:hAnsi="arial"/>
                  <w:sz w:val="18"/>
                </w:rPr>
                <w:t>Role of Board in Risk Oversight Process</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6">
              <w:r>
                <w:rPr>
                  <w:rStyle w:val="InternetLink"/>
                  <w:rFonts w:ascii="arial" w:hAnsi="arial"/>
                  <w:sz w:val="18"/>
                </w:rPr>
                <w:t>Committees and Attendance</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7">
              <w:r>
                <w:rPr>
                  <w:rStyle w:val="InternetLink"/>
                  <w:rFonts w:ascii="arial" w:hAnsi="arial"/>
                  <w:sz w:val="18"/>
                </w:rPr>
                <w:t>Compensation Consultant</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8">
              <w:r>
                <w:rPr>
                  <w:rStyle w:val="InternetLink"/>
                  <w:rFonts w:ascii="arial" w:hAnsi="arial"/>
                  <w:sz w:val="18"/>
                </w:rPr>
                <w:t>Global Code of Business Conduct and Ethics</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9">
              <w:r>
                <w:rPr>
                  <w:rStyle w:val="InternetLink"/>
                  <w:rFonts w:ascii="arial" w:hAnsi="arial"/>
                  <w:sz w:val="18"/>
                </w:rPr>
                <w:t>Director Nomination Process and Board Diversity</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0">
              <w:r>
                <w:rPr>
                  <w:rStyle w:val="InternetLink"/>
                  <w:rFonts w:ascii="arial" w:hAnsi="arial"/>
                  <w:sz w:val="18"/>
                </w:rPr>
                <w:t>Communication with Directors</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1">
              <w:r>
                <w:rPr>
                  <w:rStyle w:val="InternetLink"/>
                  <w:rFonts w:ascii="arial" w:hAnsi="arial"/>
                  <w:sz w:val="18"/>
                </w:rPr>
                <w:t>Director Attendance at Annual Meeting</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2">
              <w:r>
                <w:rPr>
                  <w:rStyle w:val="InternetLink"/>
                  <w:rFonts w:ascii="arial" w:hAnsi="arial"/>
                  <w:sz w:val="18"/>
                </w:rPr>
                <w:t>Non-Employee Director Compensation</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13">
              <w:r>
                <w:rPr>
                  <w:rStyle w:val="InternetLink"/>
                  <w:b/>
                  <w:color w:val="A41F35"/>
                </w:rPr>
                <w:t xml:space="preserve">Proposal 2 </w:t>
              </w:r>
            </w:hyperlink>
            <w:hyperlink w:anchor="toc803709_13">
              <w:r>
                <w:rPr>
                  <w:rStyle w:val="InternetLink"/>
                </w:rPr>
                <w:t>Advisory Vote on Executive Compensation</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17</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14">
              <w:r>
                <w:rPr>
                  <w:rStyle w:val="InternetLink"/>
                  <w:b/>
                  <w:color w:val="A41F35"/>
                </w:rPr>
                <w:t>Security Ownership of Certain Beneficial Owners and Management</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18</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15">
              <w:r>
                <w:rPr>
                  <w:rStyle w:val="InternetLink"/>
                  <w:b/>
                  <w:color w:val="A41F35"/>
                </w:rPr>
                <w:t>Executive Compensation</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20</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7">
              <w:r>
                <w:rPr>
                  <w:rStyle w:val="InternetLink"/>
                  <w:rFonts w:ascii="arial" w:hAnsi="arial"/>
                  <w:sz w:val="18"/>
                </w:rPr>
                <w:t>Compensation Discussion and Analysis</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6">
              <w:r>
                <w:rPr>
                  <w:rStyle w:val="InternetLink"/>
                  <w:rFonts w:ascii="arial" w:hAnsi="arial"/>
                  <w:sz w:val="18"/>
                </w:rPr>
                <w:t>Executive Summary</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8">
              <w:r>
                <w:rPr>
                  <w:rStyle w:val="InternetLink"/>
                  <w:rFonts w:ascii="arial" w:hAnsi="arial"/>
                  <w:sz w:val="18"/>
                </w:rPr>
                <w:t>What Guides Our Program</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19">
              <w:r>
                <w:rPr>
                  <w:rStyle w:val="InternetLink"/>
                  <w:rFonts w:ascii="arial" w:hAnsi="arial"/>
                  <w:sz w:val="18"/>
                </w:rPr>
                <w:t>2024 Executive Compensation Program in Detail</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50">
              <w:r>
                <w:rPr>
                  <w:rStyle w:val="InternetLink"/>
                  <w:rFonts w:ascii="arial" w:hAnsi="arial"/>
                  <w:sz w:val="18"/>
                </w:rPr>
                <w:t>CFO Transition</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20">
              <w:r>
                <w:rPr>
                  <w:rStyle w:val="InternetLink"/>
                  <w:rFonts w:ascii="arial" w:hAnsi="arial"/>
                  <w:sz w:val="18"/>
                </w:rPr>
                <w:t>Other Compensation Practices, Policies &amp; Guidelines</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vAlign w:val="center"/>
          </w:tcPr>
          <w:p>
            <w:pPr>
              <w:pStyle w:val="TableContents"/>
              <w:bidi w:val="0"/>
              <w:spacing w:before="0" w:after="0"/>
              <w:jc w:val="left"/>
              <w:rPr/>
            </w:pPr>
            <w:hyperlink w:anchor="toc803709_21">
              <w:r>
                <w:rPr>
                  <w:rStyle w:val="InternetLink"/>
                  <w:rFonts w:ascii="arial" w:hAnsi="arial"/>
                  <w:sz w:val="18"/>
                </w:rPr>
                <w:t>Compensation Committee Report</w:t>
              </w:r>
            </w:hyperlink>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135" w:type="dxa"/>
            <w:tcBorders/>
            <w:vAlign w:val="center"/>
          </w:tcPr>
          <w:p>
            <w:pPr>
              <w:pStyle w:val="TableContents"/>
              <w:bidi w:val="0"/>
              <w:spacing w:before="0" w:after="283"/>
              <w:jc w:val="left"/>
              <w:rPr/>
            </w:pPr>
            <w:r>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2">
              <w:r>
                <w:rPr>
                  <w:rStyle w:val="InternetLink"/>
                  <w:b/>
                  <w:color w:val="A41F35"/>
                </w:rPr>
                <w:t>Equity Compensation Plan Information</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49</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3">
              <w:r>
                <w:rPr>
                  <w:rStyle w:val="InternetLink"/>
                  <w:b/>
                  <w:color w:val="A41F35"/>
                </w:rPr>
                <w:t>Report of the Audit Committee</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50</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4">
              <w:r>
                <w:rPr>
                  <w:rStyle w:val="InternetLink"/>
                  <w:b/>
                  <w:color w:val="A41F35"/>
                </w:rPr>
                <w:t>Certain Relationships and Related Person Transactions</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51</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5">
              <w:r>
                <w:rPr>
                  <w:rStyle w:val="InternetLink"/>
                  <w:b/>
                  <w:color w:val="A41F35"/>
                </w:rPr>
                <w:t>Executive Officers</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52</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6">
              <w:r>
                <w:rPr>
                  <w:rStyle w:val="InternetLink"/>
                  <w:b/>
                  <w:color w:val="A41F35"/>
                </w:rPr>
                <w:t xml:space="preserve">Proposal 3 </w:t>
              </w:r>
            </w:hyperlink>
            <w:hyperlink w:anchor="toc803709_26">
              <w:r>
                <w:rPr>
                  <w:rStyle w:val="InternetLink"/>
                </w:rPr>
                <w:t>Ratification of the Appointment of Independent Registered Public Accounting Firm</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53</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7">
              <w:r>
                <w:rPr>
                  <w:rStyle w:val="InternetLink"/>
                  <w:b/>
                  <w:color w:val="A41F35"/>
                </w:rPr>
                <w:t>Delinquent Section 16(a) Reports</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55</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8">
              <w:r>
                <w:rPr>
                  <w:rStyle w:val="InternetLink"/>
                  <w:b/>
                  <w:color w:val="A41F35"/>
                </w:rPr>
                <w:t>Shareholder Proposals for 2026 Annual Meeting</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55</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29">
              <w:r>
                <w:rPr>
                  <w:rStyle w:val="InternetLink"/>
                  <w:b/>
                  <w:color w:val="A41F35"/>
                </w:rPr>
                <w:t>Annual Report</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55</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r>
        <w:trPr/>
        <w:tc>
          <w:tcPr>
            <w:tcW w:w="9065"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9065" w:type="dxa"/>
            <w:tcBorders>
              <w:bottom w:val="single" w:sz="6" w:space="0" w:color="EFECE8"/>
            </w:tcBorders>
            <w:tcMar>
              <w:bottom w:w="40" w:type="dxa"/>
            </w:tcMar>
            <w:vAlign w:val="center"/>
          </w:tcPr>
          <w:p>
            <w:pPr>
              <w:pStyle w:val="TableContents"/>
              <w:bidi w:val="0"/>
              <w:spacing w:before="0" w:after="283"/>
              <w:jc w:val="left"/>
              <w:rPr/>
            </w:pPr>
            <w:hyperlink w:anchor="toc803709_30">
              <w:r>
                <w:rPr>
                  <w:rStyle w:val="InternetLink"/>
                  <w:b/>
                  <w:color w:val="A41F35"/>
                </w:rPr>
                <w:t>Householding of Proxy Materials</w:t>
              </w:r>
            </w:hyperlink>
          </w:p>
        </w:tc>
        <w:tc>
          <w:tcPr>
            <w:tcW w:w="120" w:type="dxa"/>
            <w:tcBorders>
              <w:bottom w:val="single" w:sz="6" w:space="0" w:color="EFECE8"/>
            </w:tcBorders>
            <w:tcMar>
              <w:bottom w:w="28" w:type="dxa"/>
            </w:tcMar>
            <w:vAlign w:val="center"/>
          </w:tcPr>
          <w:p>
            <w:pPr>
              <w:pStyle w:val="TableContents"/>
              <w:bidi w:val="0"/>
              <w:spacing w:before="0" w:after="283"/>
              <w:jc w:val="left"/>
              <w:rPr/>
            </w:pPr>
            <w:r>
              <w:rPr/>
              <w:t>  </w:t>
            </w:r>
          </w:p>
        </w:tc>
        <w:tc>
          <w:tcPr>
            <w:tcW w:w="120"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c>
          <w:tcPr>
            <w:tcW w:w="260" w:type="dxa"/>
            <w:tcBorders>
              <w:bottom w:val="single" w:sz="6" w:space="0" w:color="EFECE8"/>
            </w:tcBorders>
            <w:tcMar>
              <w:bottom w:w="40" w:type="dxa"/>
            </w:tcMar>
            <w:vAlign w:val="center"/>
          </w:tcPr>
          <w:p>
            <w:pPr>
              <w:pStyle w:val="TableContents"/>
              <w:bidi w:val="0"/>
              <w:spacing w:before="0" w:after="283"/>
              <w:jc w:val="right"/>
              <w:rPr>
                <w:b/>
                <w:color w:val="A41F35"/>
              </w:rPr>
            </w:pPr>
            <w:r>
              <w:rPr>
                <w:b/>
                <w:color w:val="A41F35"/>
              </w:rPr>
              <w:t>56</w:t>
            </w:r>
          </w:p>
        </w:tc>
        <w:tc>
          <w:tcPr>
            <w:tcW w:w="135" w:type="dxa"/>
            <w:tcBorders>
              <w:bottom w:val="single" w:sz="6" w:space="0" w:color="EFECE8"/>
            </w:tcBorders>
            <w:tcMar>
              <w:bottom w:w="40" w:type="dxa"/>
            </w:tcMar>
            <w:vAlign w:val="center"/>
          </w:tcPr>
          <w:p>
            <w:pPr>
              <w:pStyle w:val="TableContents"/>
              <w:bidi w:val="0"/>
              <w:spacing w:before="0" w:after="283"/>
              <w:jc w:val="left"/>
              <w:rPr>
                <w:color w:val="A41F35"/>
              </w:rPr>
            </w:pPr>
            <w:r>
              <w:rPr>
                <w:color w:val="A41F35"/>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5973" w:type="dxa"/>
        <w:jc w:val="left"/>
        <w:tblInd w:w="0" w:type="dxa"/>
        <w:tblLayout w:type="fixed"/>
        <w:tblCellMar>
          <w:top w:w="0" w:type="dxa"/>
          <w:left w:w="0" w:type="dxa"/>
          <w:bottom w:w="0" w:type="dxa"/>
          <w:right w:w="0" w:type="dxa"/>
        </w:tblCellMar>
      </w:tblPr>
      <w:tblGrid>
        <w:gridCol w:w="38"/>
        <w:gridCol w:w="60"/>
        <w:gridCol w:w="5720"/>
        <w:gridCol w:w="60"/>
        <w:gridCol w:w="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right"/>
              <w:rPr>
                <w:b/>
              </w:rPr>
            </w:pPr>
            <w:r>
              <w:rPr>
                <w:b/>
              </w:rPr>
              <w:t>i</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3" w:name="toc803709_2"/>
      <w:bookmarkEnd w:id="3"/>
      <w:r>
        <w:rPr>
          <w:rFonts w:ascii="arial" w:hAnsi="arial"/>
          <w:b/>
          <w:color w:val="A41F35"/>
          <w:sz w:val="56"/>
        </w:rPr>
        <w:t xml:space="preserve">Proxy Statement Summary </w:t>
      </w:r>
    </w:p>
    <w:p>
      <w:pPr>
        <w:pStyle w:val="TextBody"/>
        <w:bidi w:val="0"/>
        <w:spacing w:before="480" w:after="0"/>
        <w:jc w:val="left"/>
        <w:rPr>
          <w:rFonts w:ascii="arial" w:hAnsi="arial"/>
          <w:sz w:val="18"/>
        </w:rPr>
      </w:pPr>
      <w:r>
        <w:rPr>
          <w:rFonts w:ascii="arial" w:hAnsi="arial"/>
          <w:sz w:val="18"/>
        </w:rPr>
        <w:t xml:space="preserve">This Proxy Statement relates to the solicitation of proxies by the Board of Directors (“Board”) of TransMedics Group, Inc. (”TransMedics” or “Company”), for use at the 2025 Annual Meeting of Shareholders (“Annual Meeting”), and at any adjournment of that meeting. The Annual Meeting is scheduled to be held on May 22, 2025, at 8:00 A.M., Eastern Time, at </w:t>
      </w:r>
      <w:r>
        <w:rPr>
          <w:rFonts w:ascii="arial" w:hAnsi="arial"/>
          <w:sz w:val="18"/>
          <w:u w:val="single"/>
        </w:rPr>
        <w:t>www.virtualshareholdermeeting.com/TMDX2025</w:t>
      </w:r>
      <w:r>
        <w:rPr>
          <w:rFonts w:ascii="arial" w:hAnsi="arial"/>
          <w:sz w:val="18"/>
        </w:rPr>
        <w:t xml:space="preserve">. On or about April 10, 2025, we will commence sending the Notice of Internet Availability of Proxy Materials (the “Notice”) to all shareholders entitled to vote at the Annual Meeting. </w:t>
      </w:r>
    </w:p>
    <w:p>
      <w:pPr>
        <w:pStyle w:val="TextBody"/>
        <w:bidi w:val="0"/>
        <w:spacing w:before="160" w:after="0"/>
        <w:jc w:val="left"/>
        <w:rPr>
          <w:rFonts w:ascii="arial" w:hAnsi="arial"/>
          <w:sz w:val="18"/>
        </w:rPr>
      </w:pPr>
      <w:r>
        <w:rPr>
          <w:rFonts w:ascii="arial" w:hAnsi="arial"/>
          <w:sz w:val="18"/>
        </w:rPr>
        <w:t xml:space="preserve">References throughout the Proxy Statement to “TransMedics Group, Inc.”, “TransMedics”, “we”, “us”, “our”, or the “Company” refer to TransMedics Group, Inc., unless the context otherwise indicates. </w:t>
      </w:r>
    </w:p>
    <w:p>
      <w:pPr>
        <w:pStyle w:val="TextBody"/>
        <w:bidi w:val="0"/>
        <w:spacing w:before="360" w:after="0"/>
        <w:jc w:val="left"/>
        <w:rPr>
          <w:rFonts w:ascii="arial" w:hAnsi="arial"/>
          <w:b/>
          <w:color w:val="A41F35"/>
          <w:sz w:val="28"/>
        </w:rPr>
      </w:pPr>
      <w:r>
        <w:rPr>
          <w:rFonts w:ascii="arial" w:hAnsi="arial"/>
          <w:b/>
          <w:color w:val="A41F35"/>
          <w:sz w:val="28"/>
        </w:rPr>
        <w:t xml:space="preserve">Purposes of the Meeting </w:t>
      </w:r>
    </w:p>
    <w:p>
      <w:pPr>
        <w:pStyle w:val="TextBody"/>
        <w:bidi w:val="0"/>
        <w:spacing w:before="120" w:after="0"/>
        <w:jc w:val="left"/>
        <w:rPr>
          <w:rFonts w:ascii="arial" w:hAnsi="arial"/>
          <w:sz w:val="18"/>
        </w:rPr>
      </w:pPr>
      <w:r>
        <w:rPr>
          <w:rFonts w:ascii="arial" w:hAnsi="arial"/>
          <w:sz w:val="18"/>
        </w:rPr>
        <w:t xml:space="preserve">The purposes of the Annual Meeting are: </w:t>
      </w:r>
    </w:p>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215"/>
        <w:gridCol w:w="7265"/>
      </w:tblGrid>
      <w:tr>
        <w:trPr/>
        <w:tc>
          <w:tcPr>
            <w:tcW w:w="215" w:type="dxa"/>
            <w:tcBorders/>
            <w:vAlign w:val="center"/>
          </w:tcPr>
          <w:p>
            <w:pPr>
              <w:pStyle w:val="TableContents"/>
              <w:bidi w:val="0"/>
              <w:spacing w:before="0" w:after="283"/>
              <w:jc w:val="left"/>
              <w:rPr/>
            </w:pPr>
            <w:r>
              <w:rPr/>
              <w:t>1.</w:t>
            </w:r>
          </w:p>
        </w:tc>
        <w:tc>
          <w:tcPr>
            <w:tcW w:w="7265" w:type="dxa"/>
            <w:tcBorders/>
            <w:vAlign w:val="center"/>
          </w:tcPr>
          <w:p>
            <w:pPr>
              <w:pStyle w:val="TableContents"/>
              <w:bidi w:val="0"/>
              <w:spacing w:before="0" w:after="0"/>
              <w:jc w:val="left"/>
              <w:rPr>
                <w:rFonts w:ascii="arial" w:hAnsi="arial"/>
                <w:sz w:val="18"/>
              </w:rPr>
            </w:pPr>
            <w:r>
              <w:rPr>
                <w:rFonts w:ascii="arial" w:hAnsi="arial"/>
                <w:sz w:val="18"/>
              </w:rPr>
              <w:t xml:space="preserve">To elect eight (8) directors, each to serve until the 2026 Annual Meeting of Shareholders;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215"/>
        <w:gridCol w:w="7880"/>
      </w:tblGrid>
      <w:tr>
        <w:trPr/>
        <w:tc>
          <w:tcPr>
            <w:tcW w:w="215" w:type="dxa"/>
            <w:tcBorders/>
            <w:vAlign w:val="center"/>
          </w:tcPr>
          <w:p>
            <w:pPr>
              <w:pStyle w:val="TableContents"/>
              <w:bidi w:val="0"/>
              <w:spacing w:before="0" w:after="283"/>
              <w:jc w:val="left"/>
              <w:rPr/>
            </w:pPr>
            <w:r>
              <w:rPr/>
              <w:t>2.</w:t>
            </w:r>
          </w:p>
        </w:tc>
        <w:tc>
          <w:tcPr>
            <w:tcW w:w="7880" w:type="dxa"/>
            <w:tcBorders/>
            <w:vAlign w:val="center"/>
          </w:tcPr>
          <w:p>
            <w:pPr>
              <w:pStyle w:val="TableContents"/>
              <w:bidi w:val="0"/>
              <w:spacing w:before="0" w:after="0"/>
              <w:jc w:val="left"/>
              <w:rPr>
                <w:rFonts w:ascii="arial" w:hAnsi="arial"/>
                <w:sz w:val="18"/>
              </w:rPr>
            </w:pPr>
            <w:r>
              <w:rPr>
                <w:rFonts w:ascii="arial" w:hAnsi="arial"/>
                <w:sz w:val="18"/>
              </w:rPr>
              <w:t xml:space="preserve">To approve, on a non-binding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3.</w:t>
            </w:r>
          </w:p>
        </w:tc>
        <w:tc>
          <w:tcPr>
            <w:tcW w:w="10008"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PricewaterhouseCoopers LLP as our independent registered public accounting firm for our fiscal year ending December 31,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0"/>
              <w:jc w:val="left"/>
              <w:rPr>
                <w:rFonts w:ascii="arial" w:hAnsi="arial"/>
                <w:sz w:val="18"/>
              </w:rPr>
            </w:pPr>
            <w:r>
              <w:rPr>
                <w:rFonts w:ascii="arial" w:hAnsi="arial"/>
                <w:sz w:val="18"/>
              </w:rPr>
              <w:t xml:space="preserve">To transact such other business as may properly come before the meeting or any adjournments and postponements thereof.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Shareholders Entitled to Vote at the Meeting </w:t>
      </w:r>
    </w:p>
    <w:p>
      <w:pPr>
        <w:pStyle w:val="TextBody"/>
        <w:bidi w:val="0"/>
        <w:spacing w:before="120" w:after="0"/>
        <w:jc w:val="left"/>
        <w:rPr>
          <w:rFonts w:ascii="arial" w:hAnsi="arial"/>
          <w:sz w:val="18"/>
        </w:rPr>
      </w:pPr>
      <w:r>
        <w:rPr>
          <w:rFonts w:ascii="arial" w:hAnsi="arial"/>
          <w:sz w:val="18"/>
        </w:rPr>
        <w:t xml:space="preserve">Our Board has established the close of business on March 25, 2025 as the “record date” for the Annual Meeting. This means that you are entitled to vote at the Annual Meeting (and any adjournments) if our records show that you owned our common stock at that time. As of this record date, 33,824,224 shares of our common stock, including 5,445 shares of restricted stock, were issued and outstanding, held by approximately 26 registered shareholders of record. Each issued and outstanding share of common stock as of the record date is entitled to one vote on each matter properly to come before the Annual Meeting and can be voted only if the record owner of that share, determined as of the record date, is present by remote communication at the Annual Meeting or represented by proxy. A list of shareholders entitled to vote will be available for examination during the Annual Meeting at </w:t>
      </w:r>
      <w:r>
        <w:rPr>
          <w:rFonts w:ascii="arial" w:hAnsi="arial"/>
          <w:sz w:val="18"/>
          <w:u w:val="single"/>
        </w:rPr>
        <w:t>www.virtualshareholdermeeting.com/TMDX2025</w:t>
      </w:r>
      <w:r>
        <w:rPr>
          <w:rFonts w:ascii="arial" w:hAnsi="arial"/>
          <w:sz w:val="18"/>
        </w:rPr>
        <w:t xml:space="preserve">. </w:t>
      </w:r>
    </w:p>
    <w:p>
      <w:pPr>
        <w:pStyle w:val="TextBody"/>
        <w:bidi w:val="0"/>
        <w:spacing w:before="360" w:after="0"/>
        <w:jc w:val="left"/>
        <w:rPr>
          <w:rFonts w:ascii="arial" w:hAnsi="arial"/>
          <w:b/>
          <w:color w:val="A41F35"/>
          <w:sz w:val="28"/>
        </w:rPr>
      </w:pPr>
      <w:r>
        <w:rPr>
          <w:rFonts w:ascii="arial" w:hAnsi="arial"/>
          <w:b/>
          <w:color w:val="A41F35"/>
          <w:sz w:val="28"/>
        </w:rPr>
        <w:t xml:space="preserve">Voting Shares That You Hold In Your Name </w:t>
      </w:r>
    </w:p>
    <w:p>
      <w:pPr>
        <w:pStyle w:val="TextBody"/>
        <w:bidi w:val="0"/>
        <w:spacing w:before="120" w:after="0"/>
        <w:jc w:val="left"/>
        <w:rPr>
          <w:rFonts w:ascii="arial" w:hAnsi="arial"/>
          <w:sz w:val="18"/>
        </w:rPr>
      </w:pPr>
      <w:r>
        <w:rPr>
          <w:rFonts w:ascii="arial" w:hAnsi="arial"/>
          <w:sz w:val="18"/>
        </w:rPr>
        <w:t xml:space="preserve">If you are a shareholder of record on the record date for the Annual Meeting, you may vote by proxy or you may attend the Annual Meeting and vote by remote communication at the meeting. If you do not attend the Annual Meeting, you may: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VOTE BY INTERNET — </w:t>
            </w:r>
            <w:r>
              <w:rPr>
                <w:rFonts w:ascii="arial" w:hAnsi="arial"/>
                <w:sz w:val="18"/>
                <w:u w:val="single"/>
              </w:rPr>
              <w:t>www.proxyvote.com</w:t>
            </w:r>
            <w:r>
              <w:rPr>
                <w:rFonts w:ascii="arial" w:hAnsi="arial"/>
                <w:sz w:val="18"/>
              </w:rPr>
              <w:t xml:space="preserve">. Use the Internet to transmit your voting instructions up until 11:59 P.M., Eastern Time, on May 21, 2025. Have the Notice in hand when you access the website. Follow the steps outlined on the secured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VOTE BY PHONE — Use a touch-tone phone by calling the toll-free number 1-800-690-6903 to transmit your voting instructions up until 11:59 P.M., Eastern Time, on May 21, 2025. Have the Notice in hand when you access the phone number. Follow the steps outlined on the phone 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VOTE BY MAIL — If you requested and received a proxy card by mail, mark, sign and date your proxy card and return it in the postage-paid envelope we will provide or mail it to Vote Processing, c/o Broadridge, 51 Mercedes Way, Edgewood, NY 11717.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Virtual Meeting </w:t>
      </w:r>
    </w:p>
    <w:p>
      <w:pPr>
        <w:pStyle w:val="TextBody"/>
        <w:bidi w:val="0"/>
        <w:spacing w:before="120" w:after="0"/>
        <w:jc w:val="left"/>
        <w:rPr>
          <w:rFonts w:ascii="arial" w:hAnsi="arial"/>
          <w:sz w:val="18"/>
        </w:rPr>
      </w:pPr>
      <w:r>
        <w:rPr>
          <w:rFonts w:ascii="arial" w:hAnsi="arial"/>
          <w:sz w:val="18"/>
        </w:rPr>
        <w:t xml:space="preserve">Our Annual Meeting will be a virtual meeting, which will be conducted via live webcast. We believe hosting a virtual meeting will allow for greater shareholder attendance at the Annual Meeting by enabling shareholders who might not otherwise be able to travel to our physical meeting to attend online and participate from any location.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38"/>
        <w:gridCol w:w="60"/>
        <w:gridCol w:w="5720"/>
        <w:gridCol w:w="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rPr>
            </w:pPr>
            <w:r>
              <w:rPr>
                <w:b/>
              </w:rPr>
              <w:t>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Proxy Statement Summary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participate in the Annual Meeting virtually via the Internet, please visit </w:t>
      </w:r>
      <w:r>
        <w:rPr>
          <w:rFonts w:ascii="arial" w:hAnsi="arial"/>
          <w:sz w:val="18"/>
          <w:u w:val="single"/>
        </w:rPr>
        <w:t>www.virtualshareholdermeeting.com/TMDX2025</w:t>
      </w:r>
      <w:r>
        <w:rPr>
          <w:rFonts w:ascii="arial" w:hAnsi="arial"/>
          <w:sz w:val="18"/>
        </w:rPr>
        <w:t xml:space="preserve">. You will need the 16-digit control number included on your Notice, your proxy card or the instructions that accompanied your proxy materials. </w:t>
      </w:r>
    </w:p>
    <w:p>
      <w:pPr>
        <w:pStyle w:val="TextBody"/>
        <w:bidi w:val="0"/>
        <w:spacing w:before="160" w:after="0"/>
        <w:jc w:val="left"/>
        <w:rPr>
          <w:rFonts w:ascii="arial" w:hAnsi="arial"/>
          <w:sz w:val="18"/>
        </w:rPr>
      </w:pPr>
      <w:r>
        <w:rPr>
          <w:rFonts w:ascii="arial" w:hAnsi="arial"/>
          <w:sz w:val="18"/>
        </w:rPr>
        <w:t xml:space="preserve">Instructions should also be provided on the voting instruction card provided by your bank or brokerage firm. If you do not have your 16-digit control number and choose to attend the meeting online, you will be able to listen to the meeting only, however, and you will not be able to vote or submit questions during the meeting. </w:t>
      </w:r>
    </w:p>
    <w:p>
      <w:pPr>
        <w:pStyle w:val="TextBody"/>
        <w:bidi w:val="0"/>
        <w:spacing w:before="360" w:after="0"/>
        <w:jc w:val="left"/>
        <w:rPr>
          <w:rFonts w:ascii="arial" w:hAnsi="arial"/>
          <w:b/>
          <w:color w:val="A41F35"/>
          <w:sz w:val="28"/>
        </w:rPr>
      </w:pPr>
      <w:r>
        <w:rPr>
          <w:rFonts w:ascii="arial" w:hAnsi="arial"/>
          <w:b/>
          <w:color w:val="A41F35"/>
          <w:sz w:val="28"/>
        </w:rPr>
        <w:t xml:space="preserve">Attending the Annual Meeting </w:t>
      </w:r>
    </w:p>
    <w:p>
      <w:pPr>
        <w:pStyle w:val="TextBody"/>
        <w:bidi w:val="0"/>
        <w:spacing w:before="120" w:after="0"/>
        <w:jc w:val="left"/>
        <w:rPr>
          <w:rFonts w:ascii="arial" w:hAnsi="arial"/>
          <w:sz w:val="18"/>
        </w:rPr>
      </w:pPr>
      <w:r>
        <w:rPr>
          <w:rFonts w:ascii="arial" w:hAnsi="arial"/>
          <w:sz w:val="18"/>
        </w:rPr>
        <w:t xml:space="preserve">The Annual Meeting will be held entirely online at </w:t>
      </w:r>
      <w:r>
        <w:rPr>
          <w:rFonts w:ascii="arial" w:hAnsi="arial"/>
          <w:sz w:val="18"/>
          <w:u w:val="single"/>
        </w:rPr>
        <w:t>www.virtualshareholdermeeting.com/TMDX2025</w:t>
      </w:r>
      <w:r>
        <w:rPr>
          <w:rFonts w:ascii="arial" w:hAnsi="arial"/>
          <w:sz w:val="18"/>
        </w:rPr>
        <w:t xml:space="preserve">. A summary of the information you need to attend the Annual Meeting online is provided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Instructions on how to attend and participate via the Internet, including how to demonstrate proof of common stock ownership, are posted at </w:t>
            </w:r>
            <w:r>
              <w:rPr>
                <w:rFonts w:ascii="arial" w:hAnsi="arial"/>
                <w:sz w:val="18"/>
                <w:u w:val="single"/>
              </w:rPr>
              <w:t>www.virtualshareholdermeeting.com/TMDX2025</w:t>
            </w:r>
            <w:r>
              <w:rPr>
                <w:rFonts w:ascii="arial" w:hAnsi="arial"/>
                <w:sz w:val="18"/>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Questions regarding how to attend and participate via the Internet will be answered by calling 1-800-690-6903 on the day before the Annual Meeting and the day of the Annual Meeting.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125"/>
        <w:gridCol w:w="60"/>
        <w:gridCol w:w="57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left"/>
              <w:rPr>
                <w:rFonts w:ascii="arial" w:hAnsi="arial"/>
                <w:sz w:val="18"/>
              </w:rPr>
            </w:pPr>
            <w:r>
              <w:rPr>
                <w:rFonts w:ascii="arial" w:hAnsi="arial"/>
                <w:sz w:val="18"/>
              </w:rPr>
              <w:t xml:space="preserve">Please have your 16-digit control number to enter the Annual Meeting.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125"/>
        <w:gridCol w:w="60"/>
        <w:gridCol w:w="72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left"/>
              <w:rPr>
                <w:rFonts w:ascii="arial" w:hAnsi="arial"/>
                <w:sz w:val="18"/>
              </w:rPr>
            </w:pPr>
            <w:r>
              <w:rPr>
                <w:rFonts w:ascii="arial" w:hAnsi="arial"/>
                <w:sz w:val="18"/>
              </w:rPr>
              <w:t xml:space="preserve">Shareholders may submit questions while attending the Annual Meeting via the Internet.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125"/>
        <w:gridCol w:w="60"/>
        <w:gridCol w:w="624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arial" w:hAnsi="arial"/>
                <w:sz w:val="18"/>
              </w:rPr>
            </w:pPr>
            <w:r>
              <w:rPr>
                <w:rFonts w:ascii="arial" w:hAnsi="arial"/>
                <w:sz w:val="18"/>
              </w:rPr>
              <w:t xml:space="preserve">The Annual Meeting webcast will begin promptly at 8:00 A.M., Eastern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encourage you to access the meeting prior to the start time. Online check-in will begin at 7:30 A.M., Eastern Time, and you should allow ample time for the check-in procedures. </w:t>
            </w:r>
          </w:p>
        </w:tc>
      </w:tr>
    </w:tbl>
    <w:p>
      <w:pPr>
        <w:pStyle w:val="TextBody"/>
        <w:bidi w:val="0"/>
        <w:spacing w:before="160" w:after="0"/>
        <w:jc w:val="left"/>
        <w:rPr>
          <w:rFonts w:ascii="arial" w:hAnsi="arial"/>
          <w:sz w:val="18"/>
        </w:rPr>
      </w:pPr>
      <w:r>
        <w:rPr>
          <w:rFonts w:ascii="arial" w:hAnsi="arial"/>
          <w:sz w:val="18"/>
        </w:rPr>
        <w:t xml:space="preserve">Webcast replay of the Annual Meeting will be available until the sooner of May 22, 2026 or the date of the 2026 Annual Meeting of Shareholders. </w:t>
      </w:r>
    </w:p>
    <w:p>
      <w:pPr>
        <w:pStyle w:val="TextBody"/>
        <w:bidi w:val="0"/>
        <w:spacing w:before="360" w:after="0"/>
        <w:jc w:val="left"/>
        <w:rPr>
          <w:rFonts w:ascii="arial" w:hAnsi="arial"/>
          <w:b/>
          <w:color w:val="A41F35"/>
          <w:sz w:val="28"/>
        </w:rPr>
      </w:pPr>
      <w:r>
        <w:rPr>
          <w:rFonts w:ascii="arial" w:hAnsi="arial"/>
          <w:b/>
          <w:color w:val="A41F35"/>
          <w:sz w:val="28"/>
        </w:rPr>
        <w:t xml:space="preserve">Technical Assistance for the Virtual Access to the Annual Meeting </w:t>
      </w:r>
    </w:p>
    <w:p>
      <w:pPr>
        <w:pStyle w:val="TextBody"/>
        <w:bidi w:val="0"/>
        <w:spacing w:before="120" w:after="0"/>
        <w:jc w:val="left"/>
        <w:rPr>
          <w:rFonts w:ascii="arial" w:hAnsi="arial"/>
          <w:sz w:val="18"/>
        </w:rPr>
      </w:pPr>
      <w:r>
        <w:rPr>
          <w:rFonts w:ascii="arial" w:hAnsi="arial"/>
          <w:sz w:val="18"/>
        </w:rPr>
        <w:t xml:space="preserve">We will have technicians ready to assist you with any technical difficulties you may have accessing the Annual Meeting website. If you encounter any difficulties accessing the Annual Meeting website during the check-in or meeting time, please call the technical support number that will be posted on the Annual Meeting login page. </w:t>
      </w:r>
    </w:p>
    <w:p>
      <w:pPr>
        <w:pStyle w:val="TextBody"/>
        <w:bidi w:val="0"/>
        <w:spacing w:before="360" w:after="0"/>
        <w:jc w:val="left"/>
        <w:rPr>
          <w:rFonts w:ascii="arial" w:hAnsi="arial"/>
          <w:b/>
          <w:color w:val="A41F35"/>
          <w:sz w:val="28"/>
        </w:rPr>
      </w:pPr>
      <w:r>
        <w:rPr>
          <w:rFonts w:ascii="arial" w:hAnsi="arial"/>
          <w:b/>
          <w:color w:val="A41F35"/>
          <w:sz w:val="28"/>
        </w:rPr>
        <w:t xml:space="preserve">Voting Shares That You Hold in Brokerage or Similar Accounts </w:t>
      </w:r>
    </w:p>
    <w:p>
      <w:pPr>
        <w:pStyle w:val="TextBody"/>
        <w:bidi w:val="0"/>
        <w:spacing w:before="120" w:after="0"/>
        <w:jc w:val="left"/>
        <w:rPr>
          <w:rFonts w:ascii="arial" w:hAnsi="arial"/>
          <w:sz w:val="18"/>
        </w:rPr>
      </w:pPr>
      <w:r>
        <w:rPr>
          <w:rFonts w:ascii="arial" w:hAnsi="arial"/>
          <w:sz w:val="18"/>
        </w:rPr>
        <w:t xml:space="preserve">Many shareholders hold their shares through a broker, bank or other nominee rather than directly in their own name. If you hold your shares in one of these ways, you are considered a beneficial owner, not a record owner, and you therefore have no direct vote on any matter to come before the Annual Meeting. Your broker, bank or nominee will send you voting instructions for you to use in directing the broker, bank or nominee in how to vote your shares. Your broker, bank or nominee may allow you to deliver your voting instructions via the telephone or the Internet. </w:t>
      </w:r>
    </w:p>
    <w:p>
      <w:pPr>
        <w:pStyle w:val="TextBody"/>
        <w:bidi w:val="0"/>
        <w:spacing w:before="160" w:after="0"/>
        <w:jc w:val="left"/>
        <w:rPr>
          <w:rFonts w:ascii="arial" w:hAnsi="arial"/>
          <w:sz w:val="18"/>
        </w:rPr>
      </w:pPr>
      <w:r>
        <w:rPr>
          <w:rFonts w:ascii="arial" w:hAnsi="arial"/>
          <w:sz w:val="18"/>
        </w:rPr>
        <w:t xml:space="preserve">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voting. Brokers, banks or other nominees who hold shares for the accounts of their clients have discretionary authority to vote shares if specific instructions are not given with respect to routine matters. Although the determination of whether a broker, bank or other nominee will have discretionary voting power for a particular item is typically determined only after proxy materials are filed with the Securities and Exchange Commission (“SEC”), we expect that the proposal on ratification of the appointment of our independent registered public accounting firm (Proposal 3) will be a routine matter and that the election of each nominee for director (Proposal 1) and the proposal on an advisory vote on executive compensation (Proposal 2), will be non-routine matters. Accordingly, if you hold your shares through a broker, bank or other nominee and you do not timely provide your broker, bank or other nominee with specific instructions on how to vote your shares, your broker, bank or other nominee would not be authorized to cast a vote on your behalf on Proposal 1 (election of each nominee for director) or Proposal 2 (advisory vote on executive compensation), but would be authorized to cast a vote on your behalf, in its discretion, on Proposal 3 (ratification of the appointment of PricewaterhouseCoopers LLP). In such cases, a “broker non-vote” may be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155"/>
        <w:gridCol w:w="60"/>
        <w:gridCol w:w="5720"/>
        <w:gridCol w:w="6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rPr>
            </w:pPr>
            <w:r>
              <w:rPr>
                <w:b/>
              </w:rPr>
              <w:t>2</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Proxy Statement Summary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entered with respect to your shares on Proposal 1 and Proposal 2 to reflect that your broker was present with respect to your shares at the meeting but was not exercising voting rights on your behalf with respect to those shares. Broker non-votes and abstentions will have no effect on the outcome of each proposal. Brokers, banks and other nominees generally have discretionary authority to vote on the ratification of the appointment of an independent registered public accounting firm (Proposal 3); thus, we do not expect any broker non-votes on this matter. </w:t>
      </w:r>
    </w:p>
    <w:p>
      <w:pPr>
        <w:pStyle w:val="TextBody"/>
        <w:bidi w:val="0"/>
        <w:spacing w:before="360" w:after="0"/>
        <w:jc w:val="left"/>
        <w:rPr>
          <w:rFonts w:ascii="arial" w:hAnsi="arial"/>
          <w:b/>
          <w:color w:val="A41F35"/>
          <w:sz w:val="28"/>
        </w:rPr>
      </w:pPr>
      <w:r>
        <w:rPr>
          <w:rFonts w:ascii="arial" w:hAnsi="arial"/>
          <w:b/>
          <w:color w:val="A41F35"/>
          <w:sz w:val="28"/>
        </w:rPr>
        <w:t xml:space="preserve">Your Voting Options on Each of the Proposals </w:t>
      </w:r>
    </w:p>
    <w:p>
      <w:pPr>
        <w:pStyle w:val="TextBody"/>
        <w:bidi w:val="0"/>
        <w:spacing w:before="120" w:after="0"/>
        <w:jc w:val="left"/>
        <w:rPr>
          <w:rFonts w:ascii="arial" w:hAnsi="arial"/>
          <w:sz w:val="18"/>
        </w:rPr>
      </w:pPr>
      <w:r>
        <w:rPr>
          <w:rFonts w:ascii="arial" w:hAnsi="arial"/>
          <w:sz w:val="18"/>
        </w:rPr>
        <w:t xml:space="preserve">You may vote “for”, “against” or “abstain” with respect to the election of each nominee for director (Proposal 1). </w:t>
      </w:r>
    </w:p>
    <w:p>
      <w:pPr>
        <w:pStyle w:val="TextBody"/>
        <w:bidi w:val="0"/>
        <w:spacing w:before="160" w:after="0"/>
        <w:jc w:val="left"/>
        <w:rPr>
          <w:rFonts w:ascii="arial" w:hAnsi="arial"/>
          <w:sz w:val="18"/>
        </w:rPr>
      </w:pPr>
      <w:r>
        <w:rPr>
          <w:rFonts w:ascii="arial" w:hAnsi="arial"/>
          <w:sz w:val="18"/>
        </w:rPr>
        <w:t xml:space="preserve">You may vote “for,” “against” or “abstain” with respect to the proposal on the compensation of our named executive officers (Proposal 2). </w:t>
      </w:r>
    </w:p>
    <w:p>
      <w:pPr>
        <w:pStyle w:val="TextBody"/>
        <w:bidi w:val="0"/>
        <w:spacing w:before="160" w:after="0"/>
        <w:jc w:val="left"/>
        <w:rPr>
          <w:rFonts w:ascii="arial" w:hAnsi="arial"/>
          <w:sz w:val="18"/>
        </w:rPr>
      </w:pPr>
      <w:r>
        <w:rPr>
          <w:rFonts w:ascii="arial" w:hAnsi="arial"/>
          <w:sz w:val="18"/>
        </w:rPr>
        <w:t xml:space="preserve">You may vote “for,” “against” or “abstain” with respect to the proposal on the ratification of the appointment of PricewaterhouseCoopers LLP as our independent registered public accounting firm for our fiscal year ending December 31, 2025 (Proposal 3). </w:t>
      </w:r>
    </w:p>
    <w:p>
      <w:pPr>
        <w:pStyle w:val="TextBody"/>
        <w:bidi w:val="0"/>
        <w:spacing w:before="160" w:after="0"/>
        <w:jc w:val="left"/>
        <w:rPr>
          <w:rFonts w:ascii="arial" w:hAnsi="arial"/>
          <w:sz w:val="18"/>
        </w:rPr>
      </w:pPr>
      <w:r>
        <w:rPr>
          <w:rFonts w:ascii="arial" w:hAnsi="arial"/>
          <w:sz w:val="18"/>
        </w:rPr>
        <w:t xml:space="preserve">If any other matter is presented at the Annual Meeting, your proxy provides that your shares will be voted by the proxy holder named in the proxy card in accordance with his or her best judgment. At the time this Proxy Statement was first made available, we knew of no matters that needed to be acted on at the Annual Meeting, other than those discussed in this Proxy Statement. </w:t>
      </w:r>
    </w:p>
    <w:p>
      <w:pPr>
        <w:pStyle w:val="TextBody"/>
        <w:bidi w:val="0"/>
        <w:spacing w:before="360" w:after="0"/>
        <w:jc w:val="left"/>
        <w:rPr>
          <w:rFonts w:ascii="arial" w:hAnsi="arial"/>
          <w:b/>
          <w:color w:val="A41F35"/>
          <w:sz w:val="28"/>
        </w:rPr>
      </w:pPr>
      <w:r>
        <w:rPr>
          <w:rFonts w:ascii="arial" w:hAnsi="arial"/>
          <w:b/>
          <w:color w:val="A41F35"/>
          <w:sz w:val="28"/>
        </w:rPr>
        <w:t xml:space="preserve">Our Board’s Voting Recommendations </w:t>
      </w:r>
    </w:p>
    <w:p>
      <w:pPr>
        <w:pStyle w:val="TextBody"/>
        <w:bidi w:val="0"/>
        <w:spacing w:before="120" w:after="0"/>
        <w:jc w:val="left"/>
        <w:rPr>
          <w:rFonts w:ascii="arial" w:hAnsi="arial"/>
          <w:sz w:val="18"/>
        </w:rPr>
      </w:pPr>
      <w:r>
        <w:rPr>
          <w:rFonts w:ascii="arial" w:hAnsi="arial"/>
          <w:sz w:val="18"/>
        </w:rPr>
        <w:t xml:space="preserve">Our Board recommends that you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the election as director of each of the eight (8) individuals named as its nominees in this Proxy Statement (Proposal 1);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125"/>
        <w:gridCol w:w="60"/>
        <w:gridCol w:w="999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0"/>
              <w:jc w:val="left"/>
              <w:rPr>
                <w:rFonts w:ascii="arial" w:hAnsi="arial"/>
                <w:sz w:val="18"/>
              </w:rPr>
            </w:pPr>
            <w:r>
              <w:rPr>
                <w:rFonts w:ascii="arial" w:hAnsi="arial"/>
                <w:sz w:val="18"/>
              </w:rPr>
              <w:t xml:space="preserve">FOR the approval, on a non-binding advisory basis, of the compensation of our named executive officers (Proposal 2);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the ratification of the appointment of PricewaterhouseCoopers LLP as our independent registered public accounting firm for our fiscal year ending December 31, 2025 (Proposal 3). </w:t>
            </w:r>
          </w:p>
        </w:tc>
      </w:tr>
    </w:tbl>
    <w:p>
      <w:pPr>
        <w:pStyle w:val="TextBody"/>
        <w:bidi w:val="0"/>
        <w:spacing w:before="120" w:after="0"/>
        <w:jc w:val="left"/>
        <w:rPr>
          <w:rFonts w:ascii="arial" w:hAnsi="arial"/>
          <w:sz w:val="18"/>
        </w:rPr>
      </w:pPr>
      <w:r>
        <w:rPr>
          <w:rFonts w:ascii="arial" w:hAnsi="arial"/>
          <w:sz w:val="18"/>
        </w:rPr>
        <w:t xml:space="preserve">If any other matter is properly brought before the Annual Meeting, the Company — through the individual named in the proxy and acting as the “proxy holder,” or his or her designee, and pursuant to the blanket authorization granted under the proxy — will vote your shares on that matter in accordance with the discretion and judgment of the proxy holder. </w:t>
      </w:r>
    </w:p>
    <w:p>
      <w:pPr>
        <w:pStyle w:val="TextBody"/>
        <w:bidi w:val="0"/>
        <w:spacing w:before="160" w:after="0"/>
        <w:jc w:val="left"/>
        <w:rPr>
          <w:rFonts w:ascii="arial" w:hAnsi="arial"/>
          <w:sz w:val="18"/>
        </w:rPr>
      </w:pPr>
      <w:r>
        <w:rPr>
          <w:rFonts w:ascii="arial" w:hAnsi="arial"/>
          <w:sz w:val="18"/>
        </w:rPr>
        <w:t xml:space="preserve">It is very important that your shares be represented and voted whether or not you plan to attend the Annual Meeting. </w:t>
      </w:r>
    </w:p>
    <w:p>
      <w:pPr>
        <w:pStyle w:val="TextBody"/>
        <w:bidi w:val="0"/>
        <w:spacing w:before="360" w:after="0"/>
        <w:jc w:val="left"/>
        <w:rPr>
          <w:rFonts w:ascii="arial" w:hAnsi="arial"/>
          <w:b/>
          <w:color w:val="A41F35"/>
          <w:sz w:val="28"/>
        </w:rPr>
      </w:pPr>
      <w:r>
        <w:rPr>
          <w:rFonts w:ascii="arial" w:hAnsi="arial"/>
          <w:b/>
          <w:color w:val="A41F35"/>
          <w:sz w:val="28"/>
        </w:rPr>
        <w:t xml:space="preserve">Required Votes to Approve Each Proposal </w:t>
      </w:r>
    </w:p>
    <w:p>
      <w:pPr>
        <w:pStyle w:val="TextBody"/>
        <w:bidi w:val="0"/>
        <w:spacing w:before="120" w:after="0"/>
        <w:jc w:val="left"/>
        <w:rPr>
          <w:rFonts w:ascii="arial" w:hAnsi="arial"/>
          <w:sz w:val="18"/>
        </w:rPr>
      </w:pPr>
      <w:r>
        <w:rPr>
          <w:rFonts w:ascii="arial" w:hAnsi="arial"/>
          <w:sz w:val="18"/>
        </w:rPr>
        <w:t xml:space="preserve">As a shareholder, you are entitled to cast one vote per share for each of the eight (8) nominees for election as directors at the Annual Meeting, but you may not cumulate your votes (in other words, you may not cast votes representing eight times the number of your shares entitled to vote in favor of a single nominee). A majority of the votes properly cast for election of a director will effect such election. However, in the event that shareholders are to select among several alternative nominees in an election of directors (such as when there are more nominees than directorships), directors will be elected from among the nominees based on those directors receiving the most “for” votes until all board seats are filled. A properly returned proxy indicating “abstain” with respect to the election of one or more directors will not be counted as a vote cast with respect to the director or directors indicated. “Broker non-votes” will not be counted as votes cast on the proposal and will have no effect on the election of directors. </w:t>
      </w:r>
    </w:p>
    <w:p>
      <w:pPr>
        <w:pStyle w:val="TextBody"/>
        <w:bidi w:val="0"/>
        <w:spacing w:before="160" w:after="0"/>
        <w:jc w:val="left"/>
        <w:rPr>
          <w:rFonts w:ascii="arial" w:hAnsi="arial"/>
          <w:sz w:val="18"/>
        </w:rPr>
      </w:pPr>
      <w:r>
        <w:rPr>
          <w:rFonts w:ascii="arial" w:hAnsi="arial"/>
          <w:sz w:val="18"/>
        </w:rPr>
        <w:t xml:space="preserve">A majority of the votes properly cast at the meeting will approve: (i) the proposal to ratify the appointment of PricewaterhouseCoopers LLP as our independent registered public accounting firm for our fiscal year ending December 31, 2025; and (ii) all other matters that arise at the Annual Meeting. </w:t>
      </w:r>
    </w:p>
    <w:p>
      <w:pPr>
        <w:pStyle w:val="TextBody"/>
        <w:bidi w:val="0"/>
        <w:spacing w:before="160" w:after="0"/>
        <w:jc w:val="left"/>
        <w:rPr>
          <w:rFonts w:ascii="arial" w:hAnsi="arial"/>
          <w:sz w:val="18"/>
        </w:rPr>
      </w:pPr>
      <w:r>
        <w:rPr>
          <w:rFonts w:ascii="arial" w:hAnsi="arial"/>
          <w:sz w:val="18"/>
        </w:rPr>
        <w:t xml:space="preserve">Please note, however, that because the vote on the ratification of PricewaterhouseCoopers LLP is a non-binding advisory vote, the results of such vote will not be binding upon our Board or its committees.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38"/>
        <w:gridCol w:w="60"/>
        <w:gridCol w:w="5720"/>
        <w:gridCol w:w="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rPr>
            </w:pPr>
            <w:r>
              <w:rPr>
                <w:b/>
              </w:rPr>
              <w:t>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Proxy Statement Summary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No vote is required for approval of the compensation of our named executive officers, as this is a non-binding advisory vote. Our Board and its committees value the opinions of our shareholders and will consider the result of this vote in making future decisions relating to executive compensation arrangements. </w:t>
      </w:r>
    </w:p>
    <w:p>
      <w:pPr>
        <w:pStyle w:val="TextBody"/>
        <w:bidi w:val="0"/>
        <w:spacing w:before="360" w:after="0"/>
        <w:jc w:val="left"/>
        <w:rPr>
          <w:rFonts w:ascii="arial" w:hAnsi="arial"/>
          <w:b/>
          <w:color w:val="A41F35"/>
          <w:sz w:val="28"/>
        </w:rPr>
      </w:pPr>
      <w:r>
        <w:rPr>
          <w:rFonts w:ascii="arial" w:hAnsi="arial"/>
          <w:b/>
          <w:color w:val="A41F35"/>
          <w:sz w:val="28"/>
        </w:rPr>
        <w:t xml:space="preserve">Quorum </w:t>
      </w:r>
    </w:p>
    <w:p>
      <w:pPr>
        <w:pStyle w:val="TextBody"/>
        <w:bidi w:val="0"/>
        <w:spacing w:before="120" w:after="0"/>
        <w:jc w:val="left"/>
        <w:rPr>
          <w:rFonts w:ascii="arial" w:hAnsi="arial"/>
          <w:sz w:val="18"/>
        </w:rPr>
      </w:pPr>
      <w:r>
        <w:rPr>
          <w:rFonts w:ascii="arial" w:hAnsi="arial"/>
          <w:sz w:val="18"/>
        </w:rPr>
        <w:t xml:space="preserve">Massachusetts law provides that any shareholder action at a meeting requires that a quorum exist with respect to that meeting. Once a share is represented for any purpose at a meeting, it is deemed by Massachusetts law to be present for quorum purposes for the remainder of the meeting and (unless the shareholder attends solely to object to lack of notice, defective notice or the conduct of the meeting on other grounds, or a new record date is or must be set for any such adjournment) any adjournment of that meeting. </w:t>
      </w:r>
    </w:p>
    <w:p>
      <w:pPr>
        <w:pStyle w:val="TextBody"/>
        <w:bidi w:val="0"/>
        <w:spacing w:before="160" w:after="0"/>
        <w:jc w:val="left"/>
        <w:rPr>
          <w:rFonts w:ascii="arial" w:hAnsi="arial"/>
          <w:sz w:val="18"/>
        </w:rPr>
      </w:pPr>
      <w:r>
        <w:rPr>
          <w:rFonts w:ascii="arial" w:hAnsi="arial"/>
          <w:sz w:val="18"/>
        </w:rPr>
        <w:t xml:space="preserve">A majority of the shares of common stock entitled to vote at the Annual Meeting, present by remote communication at the meeting or by proxy, will constitute a quorum for all purposes at the meeting. If a quorum should not be present, the Annual Meeting may be adjourned from time to time until a quorum is obtained. </w:t>
      </w:r>
    </w:p>
    <w:p>
      <w:pPr>
        <w:pStyle w:val="TextBody"/>
        <w:bidi w:val="0"/>
        <w:spacing w:before="160" w:after="0"/>
        <w:jc w:val="left"/>
        <w:rPr>
          <w:rFonts w:ascii="arial" w:hAnsi="arial"/>
          <w:sz w:val="18"/>
        </w:rPr>
      </w:pPr>
      <w:r>
        <w:rPr>
          <w:rFonts w:ascii="arial" w:hAnsi="arial"/>
          <w:sz w:val="18"/>
        </w:rPr>
        <w:t xml:space="preserve">Shares held of record by shareholders who (by remote communication at the meeting or by proxy) abstain from voting on any or all proposals (and shares represented by “broker non-votes,” described above under “Voting Shares That You Hold in Brokerage or Similar Accounts”) will be included in the number of shares present at the meeting for purposes of determining the presence of a quorum. However, abstentions and “broker non-votes” as to any proposal will not be considered to be votes that have been “cast” on that proposal and therefore will not affect the outcome of the vote on any proposals described by this Proxy Statement. </w:t>
      </w:r>
    </w:p>
    <w:p>
      <w:pPr>
        <w:pStyle w:val="TextBody"/>
        <w:bidi w:val="0"/>
        <w:spacing w:before="360" w:after="0"/>
        <w:jc w:val="left"/>
        <w:rPr>
          <w:rFonts w:ascii="arial" w:hAnsi="arial"/>
          <w:b/>
          <w:color w:val="A41F35"/>
          <w:sz w:val="28"/>
        </w:rPr>
      </w:pPr>
      <w:r>
        <w:rPr>
          <w:rFonts w:ascii="arial" w:hAnsi="arial"/>
          <w:b/>
          <w:color w:val="A41F35"/>
          <w:sz w:val="28"/>
        </w:rPr>
        <w:t xml:space="preserve">Voting on Possible Other Matters </w:t>
      </w:r>
    </w:p>
    <w:p>
      <w:pPr>
        <w:pStyle w:val="TextBody"/>
        <w:bidi w:val="0"/>
        <w:spacing w:before="120" w:after="0"/>
        <w:jc w:val="left"/>
        <w:rPr>
          <w:rFonts w:ascii="arial" w:hAnsi="arial"/>
          <w:sz w:val="18"/>
        </w:rPr>
      </w:pPr>
      <w:r>
        <w:rPr>
          <w:rFonts w:ascii="arial" w:hAnsi="arial"/>
          <w:sz w:val="18"/>
        </w:rPr>
        <w:t xml:space="preserve">We are not aware that any person intends to propose that any matter, other than the three numbered proposals specifically described by this Proxy Statement, be presented for consideration or action by our shareholders at the Annual Meeting. If any such other matter should properly come before the meeting, however, favorable action on such matter would generally require the votes cast favoring the matter exceeding the votes opposing the matter to constitute favorable action on the matter, unless our Articles of Organization or Bylaws or applicable law require otherwise. If you vote by proxy, you will be granting the proxy holder authority to vote your shares on any such other matter in accordance with his discretion and judgment. </w:t>
      </w:r>
    </w:p>
    <w:p>
      <w:pPr>
        <w:pStyle w:val="TextBody"/>
        <w:bidi w:val="0"/>
        <w:spacing w:before="360" w:after="0"/>
        <w:jc w:val="left"/>
        <w:rPr>
          <w:rFonts w:ascii="arial" w:hAnsi="arial"/>
          <w:b/>
          <w:color w:val="A41F35"/>
          <w:sz w:val="28"/>
        </w:rPr>
      </w:pPr>
      <w:r>
        <w:rPr>
          <w:rFonts w:ascii="arial" w:hAnsi="arial"/>
          <w:b/>
          <w:color w:val="A41F35"/>
          <w:sz w:val="28"/>
        </w:rPr>
        <w:t xml:space="preserve">Revocation of Proxies or Voting Instructions </w:t>
      </w:r>
    </w:p>
    <w:p>
      <w:pPr>
        <w:pStyle w:val="TextBody"/>
        <w:bidi w:val="0"/>
        <w:spacing w:before="120" w:after="0"/>
        <w:jc w:val="left"/>
        <w:rPr>
          <w:rFonts w:ascii="arial" w:hAnsi="arial"/>
          <w:sz w:val="18"/>
        </w:rPr>
      </w:pPr>
      <w:r>
        <w:rPr>
          <w:rFonts w:ascii="arial" w:hAnsi="arial"/>
          <w:sz w:val="18"/>
        </w:rPr>
        <w:t xml:space="preserve">A shareholder of record who has delivered a proxy card in response to this solicitation may revoke it before it is exercised at the Annual Meeting by executing and delivering a timely and valid later-dated proxy, by a timely and valid later Internet or telephone vote, by voting by remote communication at the meeting or by giving written notice to the Corporate Secretary. Attendance at the Annual Meeting online will not have the effect of revoking a proxy unless a shareholder gives proper written notice of revocation to the Corporate Secretary before the proxy is exercised or the shareholder votes by remote communication at the meeting. Beneficial owners who have directed their broker, bank or nominee as to how to vote their shares should contact their broker, bank or nominee for instructions as to how they may revoke or change those voting directions. </w:t>
      </w:r>
    </w:p>
    <w:p>
      <w:pPr>
        <w:pStyle w:val="TextBody"/>
        <w:bidi w:val="0"/>
        <w:spacing w:before="360" w:after="0"/>
        <w:jc w:val="left"/>
        <w:rPr>
          <w:rFonts w:ascii="arial" w:hAnsi="arial"/>
          <w:b/>
          <w:color w:val="A41F35"/>
          <w:sz w:val="28"/>
        </w:rPr>
      </w:pPr>
      <w:r>
        <w:rPr>
          <w:rFonts w:ascii="arial" w:hAnsi="arial"/>
          <w:b/>
          <w:color w:val="A41F35"/>
          <w:sz w:val="28"/>
        </w:rPr>
        <w:t xml:space="preserve">Solicitation of Proxies </w:t>
      </w:r>
    </w:p>
    <w:p>
      <w:pPr>
        <w:pStyle w:val="TextBody"/>
        <w:bidi w:val="0"/>
        <w:spacing w:before="120" w:after="0"/>
        <w:jc w:val="left"/>
        <w:rPr>
          <w:rFonts w:ascii="arial" w:hAnsi="arial"/>
          <w:sz w:val="18"/>
        </w:rPr>
      </w:pPr>
      <w:r>
        <w:rPr>
          <w:rFonts w:ascii="arial" w:hAnsi="arial"/>
          <w:sz w:val="18"/>
        </w:rPr>
        <w:t xml:space="preserve">Our Board is making this solicitation of proxies for the Annual Meeting. We will bear all costs of such solicitation, including the cost of preparing and distributing this Proxy Statement and the enclosed form of proxy and including the cost of hosting the virtual meeting. After the initial distribution of this Proxy Statement, proxies may be solicited by mail, telephone, or personally by directors, officers, employees or agents of the Company. Brokerage houses and other custodians, nominees and fiduciaries will be requested to forward soliciting materials to beneficial owners of shares held by them for the accounts of beneficial owners, and we will pay their reasonable out-of-pocket expenses.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155"/>
        <w:gridCol w:w="60"/>
        <w:gridCol w:w="5720"/>
        <w:gridCol w:w="6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rPr>
            </w:pPr>
            <w:r>
              <w:rPr>
                <w:b/>
              </w:rPr>
              <w:t>4</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56"/>
        </w:rPr>
      </w:pPr>
      <w:bookmarkStart w:id="4" w:name="toc803709_3"/>
      <w:bookmarkEnd w:id="4"/>
      <w:r>
        <w:rPr>
          <w:rFonts w:ascii="arial" w:hAnsi="arial"/>
          <w:b/>
          <w:color w:val="A41F35"/>
          <w:sz w:val="56"/>
        </w:rPr>
        <w:t xml:space="preserve">Proposal 1 </w:t>
      </w:r>
      <w:r>
        <w:rPr>
          <w:rFonts w:ascii="arial" w:hAnsi="arial"/>
          <w:sz w:val="56"/>
        </w:rPr>
        <w:t>Election of Directors</w:t>
      </w:r>
      <w:r>
        <w:rPr>
          <w:rFonts w:ascii="arial" w:hAnsi="arial"/>
          <w:color w:val="A41F35"/>
          <w:sz w:val="56"/>
        </w:rPr>
        <w:t xml:space="preserve"> </w:t>
      </w:r>
    </w:p>
    <w:p>
      <w:pPr>
        <w:pStyle w:val="TextBody"/>
        <w:bidi w:val="0"/>
        <w:spacing w:before="480" w:after="0"/>
        <w:jc w:val="left"/>
        <w:rPr>
          <w:rFonts w:ascii="arial" w:hAnsi="arial"/>
          <w:sz w:val="18"/>
        </w:rPr>
      </w:pPr>
      <w:r>
        <w:rPr>
          <w:rFonts w:ascii="arial" w:hAnsi="arial"/>
          <w:sz w:val="18"/>
        </w:rPr>
        <w:t xml:space="preserve">Our Board currently consists of eight (8) directors. In accordance with the terms of our restated articles of organization (“Articles of Organization”) and second amended and restated bylaws (“Bylaws”), all of our directors serve for one-year terms and are elected annually. We are nominating the eight (8) current directors listed below for re-election. If re-elected, each of these eight (8) nominees will serve on our Board until the 2026 annual meeting of shareholders (“2026 Annual Meeting of Shareholders”), or until his or her successor is duly elected and qualified in accordance with our Articles of Organization and Bylaws, or his or her earlier death, resignation or removal. </w:t>
      </w:r>
    </w:p>
    <w:p>
      <w:pPr>
        <w:pStyle w:val="TextBody"/>
        <w:bidi w:val="0"/>
        <w:spacing w:before="160" w:after="0"/>
        <w:jc w:val="left"/>
        <w:rPr>
          <w:rFonts w:ascii="arial" w:hAnsi="arial"/>
          <w:sz w:val="18"/>
        </w:rPr>
      </w:pPr>
      <w:r>
        <w:rPr>
          <w:rFonts w:ascii="arial" w:hAnsi="arial"/>
          <w:sz w:val="18"/>
        </w:rPr>
        <w:t xml:space="preserve">Below is certain information concerning our Board’s nominees for election at the 2025 Annual Meeting. The biographies of each of the nominees below contain information regarding the experiences, qualifications, attributes or skills that caused the Nominating and Corporate Governance Committee and our Board to determine that the person should be re-elected as a director of the Company. </w:t>
      </w:r>
    </w:p>
    <w:p>
      <w:pPr>
        <w:pStyle w:val="TextBody"/>
        <w:bidi w:val="0"/>
        <w:spacing w:before="160" w:after="0"/>
        <w:jc w:val="left"/>
        <w:rPr>
          <w:rFonts w:ascii="arial" w:hAnsi="arial"/>
          <w:sz w:val="18"/>
        </w:rPr>
      </w:pPr>
      <w:r>
        <w:rPr>
          <w:rFonts w:ascii="arial" w:hAnsi="arial"/>
          <w:sz w:val="18"/>
        </w:rPr>
        <w:t xml:space="preserve">Following the director biographies is information concerning our corporate governance structure, including descriptions of the standing committees of our Board, namely our Audit Committee (“Audit Committee”), Compensation Committee (“Compensation Committee”) and Nominating and Corporate Governance Committee (“Nominating and Corporate Governance Committee”). The directors serving on each committee are listed in the descriptions below. Our directors may also serve on other committees of our Board and the board of directors of the Company’s subsidiaries that are not required to be described by this Proxy Statement and which are therefore not identified in the information below. </w:t>
      </w:r>
    </w:p>
    <w:p>
      <w:pPr>
        <w:pStyle w:val="TextBody"/>
        <w:bidi w:val="0"/>
        <w:spacing w:before="160" w:after="0"/>
        <w:jc w:val="left"/>
        <w:rPr>
          <w:rFonts w:ascii="arial" w:hAnsi="arial"/>
          <w:sz w:val="18"/>
        </w:rPr>
      </w:pPr>
      <w:r>
        <w:rPr>
          <w:rFonts w:ascii="arial" w:hAnsi="arial"/>
          <w:sz w:val="18"/>
        </w:rPr>
        <w:t xml:space="preserve">Elsewhere in this Proxy Statement you will find information concerning the number of shares of our common stock that are beneficially owned by each of our directors (see “Security Ownership of Certain Beneficial Owners and Management”) and information regarding the compensation of our directors (see “Non-Employee Director Compensation”). We urge you to review all of this information when deciding how to vote on Proposal 1. </w:t>
      </w:r>
    </w:p>
    <w:p>
      <w:pPr>
        <w:pStyle w:val="TextBody"/>
        <w:bidi w:val="0"/>
        <w:spacing w:before="0" w:after="0"/>
        <w:jc w:val="left"/>
        <w:rPr/>
      </w:pPr>
      <w:r>
        <w:rPr/>
        <w:t> </w:t>
      </w:r>
    </w:p>
    <w:p>
      <w:pPr>
        <w:pStyle w:val="TextBody"/>
        <w:pBdr/>
        <w:bidi w:val="0"/>
        <w:spacing w:before="0" w:after="200"/>
        <w:jc w:val="center"/>
        <w:rPr>
          <w:rFonts w:ascii="arial" w:hAnsi="arial"/>
          <w:b/>
          <w:sz w:val="18"/>
          <w:shd w:fill="EFECE8" w:val="clear"/>
        </w:rPr>
      </w:pPr>
      <w:r>
        <w:rPr>
          <w:rFonts w:ascii="arial" w:hAnsi="arial"/>
          <w:b/>
          <w:sz w:val="18"/>
          <w:shd w:fill="EFECE8" w:val="clear"/>
        </w:rPr>
        <w:t xml:space="preserve">Our Board recommends that you vote FOR all eight (8) of the nominees named below. </w:t>
      </w:r>
    </w:p>
    <w:p>
      <w:pPr>
        <w:pStyle w:val="TextBody"/>
        <w:bidi w:val="0"/>
        <w:spacing w:before="360" w:after="0"/>
        <w:jc w:val="left"/>
        <w:rPr>
          <w:rFonts w:ascii="arial" w:hAnsi="arial"/>
          <w:b/>
          <w:sz w:val="20"/>
        </w:rPr>
      </w:pPr>
      <w:r>
        <w:rPr>
          <w:rFonts w:ascii="arial" w:hAnsi="arial"/>
          <w:b/>
          <w:sz w:val="20"/>
        </w:rPr>
        <w:t xml:space="preserve">The following persons have been nominated for election to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5"/>
        <w:gridCol w:w="120"/>
        <w:gridCol w:w="106"/>
        <w:gridCol w:w="106"/>
        <w:gridCol w:w="890"/>
        <w:gridCol w:w="43"/>
        <w:gridCol w:w="120"/>
        <w:gridCol w:w="653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3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4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Year First</w:t>
              <w:br/>
              <w:t>Elected</w:t>
              <w:br/>
              <w:t>as Director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535" w:type="dxa"/>
            <w:tcBorders>
              <w:bottom w:val="single" w:sz="16" w:space="0" w:color="A41F35"/>
            </w:tcBorders>
            <w:tcMar>
              <w:bottom w:w="40" w:type="dxa"/>
            </w:tcMar>
            <w:vAlign w:val="center"/>
          </w:tcPr>
          <w:p>
            <w:pPr>
              <w:pStyle w:val="TableContents"/>
              <w:bidi w:val="0"/>
              <w:spacing w:before="0" w:after="283"/>
              <w:jc w:val="left"/>
              <w:rPr>
                <w:b/>
              </w:rPr>
            </w:pPr>
            <w:r>
              <w:rPr>
                <w:b/>
              </w:rPr>
              <w:t>Position</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665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890" w:type="dxa"/>
            <w:tcBorders/>
            <w:shd w:fill="EFECE8" w:val="clear"/>
            <w:vAlign w:val="center"/>
          </w:tcPr>
          <w:p>
            <w:pPr>
              <w:pStyle w:val="TableContents"/>
              <w:bidi w:val="0"/>
              <w:spacing w:before="0" w:after="283"/>
              <w:jc w:val="right"/>
              <w:rPr/>
            </w:pPr>
            <w:r>
              <w:rPr/>
              <w:t>1998</w:t>
            </w:r>
          </w:p>
        </w:tc>
        <w:tc>
          <w:tcPr>
            <w:tcW w:w="4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35" w:type="dxa"/>
            <w:tcBorders/>
            <w:shd w:fill="EFECE8" w:val="clear"/>
            <w:vAlign w:val="center"/>
          </w:tcPr>
          <w:p>
            <w:pPr>
              <w:pStyle w:val="TableContents"/>
              <w:bidi w:val="0"/>
              <w:spacing w:before="0" w:after="283"/>
              <w:jc w:val="left"/>
              <w:rPr/>
            </w:pPr>
            <w:r>
              <w:rPr/>
              <w:t>President and Chief Executive Officer; 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665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James R. Tobin</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2011</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35" w:type="dxa"/>
            <w:tcBorders/>
            <w:vAlign w:val="center"/>
          </w:tcPr>
          <w:p>
            <w:pPr>
              <w:pStyle w:val="TableContents"/>
              <w:bidi w:val="0"/>
              <w:spacing w:before="0" w:after="283"/>
              <w:jc w:val="left"/>
              <w:rPr/>
            </w:pPr>
            <w:r>
              <w:rPr/>
              <w:t>Director; Chairperson of the Board</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665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Edward M. Basile</w:t>
            </w:r>
          </w:p>
        </w:tc>
        <w:tc>
          <w:tcPr>
            <w:tcW w:w="120"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890" w:type="dxa"/>
            <w:tcBorders/>
            <w:shd w:fill="EFECE8" w:val="clear"/>
            <w:vAlign w:val="center"/>
          </w:tcPr>
          <w:p>
            <w:pPr>
              <w:pStyle w:val="TableContents"/>
              <w:bidi w:val="0"/>
              <w:spacing w:before="0" w:after="283"/>
              <w:jc w:val="right"/>
              <w:rPr/>
            </w:pPr>
            <w:r>
              <w:rPr/>
              <w:t>2016</w:t>
            </w:r>
          </w:p>
        </w:tc>
        <w:tc>
          <w:tcPr>
            <w:tcW w:w="4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35" w:type="dxa"/>
            <w:tcBorders/>
            <w:shd w:fill="EFECE8" w:val="clear"/>
            <w:vAlign w:val="center"/>
          </w:tcPr>
          <w:p>
            <w:pPr>
              <w:pStyle w:val="TableContents"/>
              <w:bidi w:val="0"/>
              <w:spacing w:before="0" w:after="283"/>
              <w:jc w:val="left"/>
              <w:rPr/>
            </w:pPr>
            <w:r>
              <w:rPr/>
              <w:t>Director; Chairperson of the Nominating and Corporate Governance Committee</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665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Thomas J. Gunderson</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2016</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35" w:type="dxa"/>
            <w:tcBorders/>
            <w:vAlign w:val="center"/>
          </w:tcPr>
          <w:p>
            <w:pPr>
              <w:pStyle w:val="TableContents"/>
              <w:bidi w:val="0"/>
              <w:spacing w:before="0" w:after="283"/>
              <w:jc w:val="left"/>
              <w:rPr/>
            </w:pPr>
            <w:r>
              <w:rPr/>
              <w:t>Director; Chairperson of the Compensation Committee</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665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Edwin M. Kania, Jr.</w:t>
            </w:r>
          </w:p>
        </w:tc>
        <w:tc>
          <w:tcPr>
            <w:tcW w:w="120"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890" w:type="dxa"/>
            <w:tcBorders/>
            <w:shd w:fill="EFECE8" w:val="clear"/>
            <w:vAlign w:val="center"/>
          </w:tcPr>
          <w:p>
            <w:pPr>
              <w:pStyle w:val="TableContents"/>
              <w:bidi w:val="0"/>
              <w:spacing w:before="0" w:after="283"/>
              <w:jc w:val="right"/>
              <w:rPr/>
            </w:pPr>
            <w:r>
              <w:rPr/>
              <w:t>2003</w:t>
            </w:r>
          </w:p>
        </w:tc>
        <w:tc>
          <w:tcPr>
            <w:tcW w:w="4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35" w:type="dxa"/>
            <w:tcBorders/>
            <w:shd w:fill="EFECE8" w:val="clear"/>
            <w:vAlign w:val="center"/>
          </w:tcPr>
          <w:p>
            <w:pPr>
              <w:pStyle w:val="TableContents"/>
              <w:bidi w:val="0"/>
              <w:spacing w:before="0" w:after="283"/>
              <w:jc w:val="left"/>
              <w:rPr/>
            </w:pPr>
            <w:r>
              <w:rPr/>
              <w:t>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665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Stephanie Lovell</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2021</w:t>
            </w:r>
          </w:p>
        </w:tc>
        <w:tc>
          <w:tcPr>
            <w:tcW w:w="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35" w:type="dxa"/>
            <w:tcBorders/>
            <w:vAlign w:val="center"/>
          </w:tcPr>
          <w:p>
            <w:pPr>
              <w:pStyle w:val="TableContents"/>
              <w:bidi w:val="0"/>
              <w:spacing w:before="0" w:after="283"/>
              <w:jc w:val="left"/>
              <w:rPr/>
            </w:pPr>
            <w:r>
              <w:rPr/>
              <w:t>Director</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665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Merilee Raines</w:t>
            </w:r>
          </w:p>
        </w:tc>
        <w:tc>
          <w:tcPr>
            <w:tcW w:w="120"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106" w:type="dxa"/>
            <w:tcBorders/>
            <w:shd w:fill="EFECE8" w:val="clear"/>
            <w:vAlign w:val="center"/>
          </w:tcPr>
          <w:p>
            <w:pPr>
              <w:pStyle w:val="TableContents"/>
              <w:bidi w:val="0"/>
              <w:spacing w:before="0" w:after="283"/>
              <w:jc w:val="left"/>
              <w:rPr/>
            </w:pPr>
            <w:r>
              <w:rPr/>
              <w:t> </w:t>
            </w:r>
          </w:p>
        </w:tc>
        <w:tc>
          <w:tcPr>
            <w:tcW w:w="890" w:type="dxa"/>
            <w:tcBorders/>
            <w:shd w:fill="EFECE8" w:val="clear"/>
            <w:vAlign w:val="center"/>
          </w:tcPr>
          <w:p>
            <w:pPr>
              <w:pStyle w:val="TableContents"/>
              <w:bidi w:val="0"/>
              <w:spacing w:before="0" w:after="283"/>
              <w:jc w:val="right"/>
              <w:rPr/>
            </w:pPr>
            <w:r>
              <w:rPr/>
              <w:t>2021</w:t>
            </w:r>
          </w:p>
        </w:tc>
        <w:tc>
          <w:tcPr>
            <w:tcW w:w="4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35" w:type="dxa"/>
            <w:tcBorders/>
            <w:shd w:fill="EFECE8" w:val="clear"/>
            <w:vAlign w:val="center"/>
          </w:tcPr>
          <w:p>
            <w:pPr>
              <w:pStyle w:val="TableContents"/>
              <w:bidi w:val="0"/>
              <w:spacing w:before="0" w:after="283"/>
              <w:jc w:val="left"/>
              <w:rPr/>
            </w:pPr>
            <w:r>
              <w:rPr/>
              <w:t>Director; Chairperson of the Audit Committee</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665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David Weill, M.D.</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06" w:type="dxa"/>
            <w:tcBorders>
              <w:bottom w:val="single" w:sz="8" w:space="0" w:color="A41F35"/>
            </w:tcBorders>
            <w:tcMar>
              <w:bottom w:w="28" w:type="dxa"/>
            </w:tcMar>
            <w:vAlign w:val="center"/>
          </w:tcPr>
          <w:p>
            <w:pPr>
              <w:pStyle w:val="TableContents"/>
              <w:bidi w:val="0"/>
              <w:spacing w:before="0" w:after="283"/>
              <w:jc w:val="left"/>
              <w:rPr/>
            </w:pPr>
            <w:r>
              <w:rPr/>
              <w:t> </w:t>
            </w:r>
          </w:p>
        </w:tc>
        <w:tc>
          <w:tcPr>
            <w:tcW w:w="106" w:type="dxa"/>
            <w:tcBorders>
              <w:bottom w:val="single" w:sz="8" w:space="0" w:color="A41F35"/>
            </w:tcBorders>
            <w:tcMar>
              <w:bottom w:w="40" w:type="dxa"/>
            </w:tcMar>
            <w:vAlign w:val="center"/>
          </w:tcPr>
          <w:p>
            <w:pPr>
              <w:pStyle w:val="TableContents"/>
              <w:bidi w:val="0"/>
              <w:spacing w:before="0" w:after="283"/>
              <w:jc w:val="left"/>
              <w:rPr/>
            </w:pPr>
            <w:r>
              <w:rPr/>
              <w:t> </w:t>
            </w:r>
          </w:p>
        </w:tc>
        <w:tc>
          <w:tcPr>
            <w:tcW w:w="890" w:type="dxa"/>
            <w:tcBorders>
              <w:bottom w:val="single" w:sz="8" w:space="0" w:color="A41F35"/>
            </w:tcBorders>
            <w:tcMar>
              <w:bottom w:w="40" w:type="dxa"/>
            </w:tcMar>
            <w:vAlign w:val="center"/>
          </w:tcPr>
          <w:p>
            <w:pPr>
              <w:pStyle w:val="TableContents"/>
              <w:bidi w:val="0"/>
              <w:spacing w:before="0" w:after="283"/>
              <w:jc w:val="right"/>
              <w:rPr/>
            </w:pPr>
            <w:r>
              <w:rPr/>
              <w:t>2019</w:t>
            </w:r>
          </w:p>
        </w:tc>
        <w:tc>
          <w:tcPr>
            <w:tcW w:w="4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535" w:type="dxa"/>
            <w:tcBorders>
              <w:bottom w:val="single" w:sz="8" w:space="0" w:color="A41F35"/>
            </w:tcBorders>
            <w:tcMar>
              <w:bottom w:w="40" w:type="dxa"/>
            </w:tcMar>
            <w:vAlign w:val="center"/>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38"/>
        <w:gridCol w:w="60"/>
        <w:gridCol w:w="5720"/>
        <w:gridCol w:w="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rPr>
            </w:pPr>
            <w:r>
              <w:rPr>
                <w:b/>
              </w:rPr>
              <w:t>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618" w:type="dxa"/>
        <w:jc w:val="left"/>
        <w:tblInd w:w="0" w:type="dxa"/>
        <w:tblLayout w:type="fixed"/>
        <w:tblCellMar>
          <w:top w:w="0" w:type="dxa"/>
          <w:left w:w="0" w:type="dxa"/>
          <w:bottom w:w="0" w:type="dxa"/>
          <w:right w:w="0" w:type="dxa"/>
        </w:tblCellMar>
      </w:tblPr>
      <w:tblGrid>
        <w:gridCol w:w="1865"/>
        <w:gridCol w:w="60"/>
        <w:gridCol w:w="1535"/>
        <w:gridCol w:w="120"/>
        <w:gridCol w:w="38"/>
      </w:tblGrid>
      <w:tr>
        <w:trPr/>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6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865"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Waleed H.</w:t>
              <w:br/>
              <w:t>Hassanein, M.D.</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August 1998</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86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Waleed H. Hassanein, M.D.</w:t>
      </w:r>
      <w:r>
        <w:rPr>
          <w:rFonts w:ascii="arial" w:hAnsi="arial"/>
          <w:sz w:val="18"/>
        </w:rPr>
        <w:t xml:space="preserve">, age 56, our founder, has served as our President and Chief Executive Officer and as a member of our Board since August 1998. Prior to founding TransMedics, Inc., Dr. Hassanein completed a three-year cardiac surgery research fellowship at West Roxbury VA Medical Center and Brigham and Women’s Hospital, a Harvard Medical School affiliate. Prior to his research fellowship, Dr. Hassanein completed two years of general surgery residency at Georgetown University Medical Center. Dr. Hassanein received a M.D. degree from Georgetown University in 1993. Prior to transferring to Georgetown University, Dr. Hassanein attended Cairo University School of Medicine from 1985 to 1989, and holds a General Certificate of Education from the University of London. We believe that Dr. Hassanein is qualified to serve on our Board because of his extensive experience in the medical field and his extensive knowledge of our Company based on his role as founder and President and Chief Executive Officer. </w:t>
      </w:r>
    </w:p>
    <w:p>
      <w:pPr>
        <w:pStyle w:val="TextBody"/>
        <w:bidi w:val="0"/>
        <w:spacing w:before="0" w:after="0"/>
        <w:jc w:val="left"/>
        <w:rPr/>
      </w:pPr>
      <w:r>
        <w:rPr/>
        <w:t> </w:t>
      </w:r>
    </w:p>
    <w:tbl>
      <w:tblPr>
        <w:tblW w:w="3393" w:type="dxa"/>
        <w:jc w:val="left"/>
        <w:tblInd w:w="0" w:type="dxa"/>
        <w:tblLayout w:type="fixed"/>
        <w:tblCellMar>
          <w:top w:w="0" w:type="dxa"/>
          <w:left w:w="0" w:type="dxa"/>
          <w:bottom w:w="0" w:type="dxa"/>
          <w:right w:w="0" w:type="dxa"/>
        </w:tblCellMar>
      </w:tblPr>
      <w:tblGrid>
        <w:gridCol w:w="1640"/>
        <w:gridCol w:w="60"/>
        <w:gridCol w:w="1535"/>
        <w:gridCol w:w="120"/>
        <w:gridCol w:w="38"/>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64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640" w:type="dxa"/>
            <w:tcBorders>
              <w:left w:val="single" w:sz="48" w:space="0" w:color="A41F35"/>
            </w:tcBorders>
            <w:tcMar>
              <w:left w:w="160" w:type="dxa"/>
            </w:tcMar>
            <w:vAlign w:val="center"/>
          </w:tcPr>
          <w:p>
            <w:pPr>
              <w:pStyle w:val="TableContents"/>
              <w:bidi w:val="0"/>
              <w:spacing w:before="0" w:after="283"/>
              <w:jc w:val="left"/>
              <w:rPr>
                <w:b/>
                <w:sz w:val="24"/>
              </w:rPr>
            </w:pPr>
            <w:r>
              <w:rPr>
                <w:b/>
                <w:sz w:val="24"/>
              </w:rPr>
              <w:t>James R. Tobin</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July 2011</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64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James R. Tobin</w:t>
      </w:r>
      <w:r>
        <w:rPr>
          <w:rFonts w:ascii="arial" w:hAnsi="arial"/>
          <w:sz w:val="18"/>
        </w:rPr>
        <w:t xml:space="preserve">, age 80, has served as Chairperson of our Board since July 2011. Mr. Tobin is the retired President and CEO of Boston Scientific Corporation, a medical device company, where he served from 1999 to 2009. Prior to Boston Scientific, Mr. Tobin was the President and CEO of Biogen Inc., and, from 1994 to 1997, its President and Chief Operating Officer. Before Biogen, Mr. Tobin spent 22 years with Baxter International Inc., rising from Financial Analyst to President and Chief Operating Officer. Mr. Tobin currently serves as a director of Globus Medical Inc., a public company, for which he serves as lead director, Lyra Therapeutics, a public company, and Xenter, Inc., a private company. Mr. Tobin has also previously served on the boards of Impulse Dynamics, from 2021 to 2023, and Oxford Immunotec, Inc., from 2014 to 2021, among others. Mr. Tobin received a Bachelor’s Degree from Harvard College and an MBA from Harvard Business School. Mr. Tobin also served as Lieutenant in the U.S. Navy. We believe that Mr. Tobin is qualified to serve on our Board because of his decades of experience as President and Chief Executive Officer or Chief Operating Officer of three large biotechnology and medical device companies. </w:t>
      </w:r>
    </w:p>
    <w:p>
      <w:pPr>
        <w:pStyle w:val="TextBody"/>
        <w:bidi w:val="0"/>
        <w:spacing w:before="0" w:after="0"/>
        <w:jc w:val="left"/>
        <w:rPr/>
      </w:pPr>
      <w:r>
        <w:rPr/>
        <w:t> </w:t>
      </w:r>
    </w:p>
    <w:tbl>
      <w:tblPr>
        <w:tblW w:w="2973" w:type="dxa"/>
        <w:jc w:val="left"/>
        <w:tblInd w:w="0" w:type="dxa"/>
        <w:tblLayout w:type="fixed"/>
        <w:tblCellMar>
          <w:top w:w="0" w:type="dxa"/>
          <w:left w:w="0" w:type="dxa"/>
          <w:bottom w:w="0" w:type="dxa"/>
          <w:right w:w="0" w:type="dxa"/>
        </w:tblCellMar>
      </w:tblPr>
      <w:tblGrid>
        <w:gridCol w:w="1220"/>
        <w:gridCol w:w="60"/>
        <w:gridCol w:w="1535"/>
        <w:gridCol w:w="120"/>
        <w:gridCol w:w="38"/>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2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220"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Edward M.</w:t>
              <w:br/>
              <w:t>Basile</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February 2016</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22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Edward M. Basile</w:t>
      </w:r>
      <w:r>
        <w:rPr>
          <w:rFonts w:ascii="arial" w:hAnsi="arial"/>
          <w:sz w:val="18"/>
        </w:rPr>
        <w:t xml:space="preserve">, age 77, has served as a member of our Board since February 2016. He is currently retired. During his 25-year tenure with the law firm King &amp; Spalding LLP, Mr. Basile served as Chair of the firm’s FDA and Life Sciences Practice and on the firm’s Policy and Compensation Committees. Mr. Basile’s law practice included representing large, medium and small medical device, pharmaceutical, and biotechnology companies before the U.S. Food and Drug Administration. Mr. Basile also served in the Chief Counsel’s Office of FDA as Associate Chief Counsel for Drugs &amp; Biologics and Associate Chief Counsel for Enforcement from 1975 to 1985. Mr. Basile received a Bachelor’s Degree in mechanical engineering from Lafayette College and a J.D. from George Washington University Law School. We believe that Mr. Basile is qualified to serve on our Board because of his decades of experience representing medical device, pharmaceutical and biotechnology companies.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155"/>
        <w:gridCol w:w="60"/>
        <w:gridCol w:w="5720"/>
        <w:gridCol w:w="6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rPr>
            </w:pPr>
            <w:r>
              <w:rPr>
                <w:b/>
              </w:rPr>
              <w:t>6</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78" w:type="dxa"/>
        <w:jc w:val="left"/>
        <w:tblInd w:w="0" w:type="dxa"/>
        <w:tblLayout w:type="fixed"/>
        <w:tblCellMar>
          <w:top w:w="0" w:type="dxa"/>
          <w:left w:w="0" w:type="dxa"/>
          <w:bottom w:w="0" w:type="dxa"/>
          <w:right w:w="0" w:type="dxa"/>
        </w:tblCellMar>
      </w:tblPr>
      <w:tblGrid>
        <w:gridCol w:w="1325"/>
        <w:gridCol w:w="60"/>
        <w:gridCol w:w="1535"/>
        <w:gridCol w:w="120"/>
        <w:gridCol w:w="38"/>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325"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Thomas J.</w:t>
              <w:br/>
              <w:t>Gunderson</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August 2016</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32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Thomas J. Gunderson</w:t>
      </w:r>
      <w:r>
        <w:rPr>
          <w:rFonts w:ascii="arial" w:hAnsi="arial"/>
          <w:sz w:val="18"/>
        </w:rPr>
        <w:t xml:space="preserve">, age 74, has served as a member of our Board since August 2016. Mr. Gunderson has served as Chair of the Board of Directors at the Minneapolis Heart Institute Foundation from 2015 to 2020 and 2024 to present, as Executive in Residence at the University of Minnesota’s Medical Industry Leadership Institute from 2016 to present, as a member of the Board of Directors of Merit Medical Systems, Inc. from 2017 to present, as a member of American Heart Association Science and Technology Accelerator Committee from 2015 to 2017 and as managing director and senior research analyst at Piper Jaffray (with a focus on medical technology companies) from 1992 to 2016. We believe that Mr. Gunderson is qualified to serve on our Board because of his more than 25 years of substantive experience in the medical device industry, his seasoned perspective on the challenges, trends and opportunities of publicly-traded medical device manufacturers, and understanding of our competitive position within its industry, as well as his strong background in financial and economic analysis and valuable insights regarding business development and acquisition opportunities. </w:t>
      </w:r>
    </w:p>
    <w:p>
      <w:pPr>
        <w:pStyle w:val="TextBody"/>
        <w:bidi w:val="0"/>
        <w:spacing w:before="0" w:after="0"/>
        <w:jc w:val="left"/>
        <w:rPr/>
      </w:pPr>
      <w:r>
        <w:rPr/>
        <w:t> </w:t>
      </w:r>
    </w:p>
    <w:tbl>
      <w:tblPr>
        <w:tblW w:w="2898" w:type="dxa"/>
        <w:jc w:val="left"/>
        <w:tblInd w:w="0" w:type="dxa"/>
        <w:tblLayout w:type="fixed"/>
        <w:tblCellMar>
          <w:top w:w="0" w:type="dxa"/>
          <w:left w:w="0" w:type="dxa"/>
          <w:bottom w:w="0" w:type="dxa"/>
          <w:right w:w="0" w:type="dxa"/>
        </w:tblCellMar>
      </w:tblPr>
      <w:tblGrid>
        <w:gridCol w:w="1100"/>
        <w:gridCol w:w="60"/>
        <w:gridCol w:w="1580"/>
        <w:gridCol w:w="120"/>
        <w:gridCol w:w="38"/>
      </w:tblGrid>
      <w:tr>
        <w:trPr/>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8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100"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Edwin M.</w:t>
              <w:br/>
              <w:t>Kania, Jr.</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80"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December 2003</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10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8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Edwin M. Kania, Jr.</w:t>
      </w:r>
      <w:r>
        <w:rPr>
          <w:rFonts w:ascii="arial" w:hAnsi="arial"/>
          <w:sz w:val="18"/>
        </w:rPr>
        <w:t xml:space="preserve">, age 67, has served as a member of our Board since December 2003. Mr. Kania is the managing partner of FarField Partners, a personal venture capital investment and advisory firm. Previously, Mr. Kania was co-founder of Flagship Pioneering and served as the firm’s initial chairman between 2001 and 2014 and as a managing partner through 2020. He is presently a partner emeritus. He was also managing partner of the predecessor OneLiberty Funds that were an early lead investor in our Company. During Mr. Kania’s 40+ years in the venture capital industry, he has served on the boards of numerous privately and publicly held companies. Mr. Kania received a Bachelor’s Degree in physics from Dartmouth College and an MBA from Harvard Business School. We believe that Mr. Kania is qualified to serve on our Board because of his significant experience investing in and then serving as a board member of numerous life science companies, including several that have emerged as significant revenue businesses. </w:t>
      </w:r>
    </w:p>
    <w:p>
      <w:pPr>
        <w:pStyle w:val="TextBody"/>
        <w:bidi w:val="0"/>
        <w:spacing w:before="0" w:after="0"/>
        <w:jc w:val="left"/>
        <w:rPr/>
      </w:pPr>
      <w:r>
        <w:rPr/>
        <w:t> </w:t>
      </w:r>
    </w:p>
    <w:tbl>
      <w:tblPr>
        <w:tblW w:w="3483" w:type="dxa"/>
        <w:jc w:val="left"/>
        <w:tblInd w:w="0" w:type="dxa"/>
        <w:tblLayout w:type="fixed"/>
        <w:tblCellMar>
          <w:top w:w="0" w:type="dxa"/>
          <w:left w:w="0" w:type="dxa"/>
          <w:bottom w:w="0" w:type="dxa"/>
          <w:right w:w="0" w:type="dxa"/>
        </w:tblCellMar>
      </w:tblPr>
      <w:tblGrid>
        <w:gridCol w:w="1730"/>
        <w:gridCol w:w="60"/>
        <w:gridCol w:w="1535"/>
        <w:gridCol w:w="120"/>
        <w:gridCol w:w="38"/>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3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730" w:type="dxa"/>
            <w:tcBorders>
              <w:left w:val="single" w:sz="48" w:space="0" w:color="A41F35"/>
            </w:tcBorders>
            <w:tcMar>
              <w:left w:w="160" w:type="dxa"/>
            </w:tcMar>
            <w:vAlign w:val="center"/>
          </w:tcPr>
          <w:p>
            <w:pPr>
              <w:pStyle w:val="TableContents"/>
              <w:bidi w:val="0"/>
              <w:spacing w:before="0" w:after="283"/>
              <w:jc w:val="left"/>
              <w:rPr>
                <w:b/>
                <w:sz w:val="24"/>
              </w:rPr>
            </w:pPr>
            <w:r>
              <w:rPr>
                <w:b/>
                <w:sz w:val="24"/>
              </w:rPr>
              <w:t>Stephanie Lovell</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March 2021</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73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Stephanie Lovell</w:t>
      </w:r>
      <w:r>
        <w:rPr>
          <w:rFonts w:ascii="arial" w:hAnsi="arial"/>
          <w:sz w:val="18"/>
        </w:rPr>
        <w:t xml:space="preserve">, age 65, has served as a member of our Board since March 2021. Ms. Lovell served as the Executive Vice President, Medicare and Chief Legal Officer for Blue Cross Blue Shield of Massachusetts, Inc. (“BCBSMA”) from July 2015 to December 2021. Ms. Lovell previously served as the Senior Vice President and General Counsel of BCBSMA from December 2011 to July 2015. Prior to BCBSMA, Ms. Lovell was the Senior Vice President of Administration and General Counsel for Boston Medical Center from March 2007 to December 2011. She also previously served as the First Assistant Attorney General in the Massachusetts Office of the Attorney General and as the Executive Director for the Massachusetts State Ethics Commission. Ms. Lovell currently serves as a director of Accompany Health, a private company, and Devoted Health Group, Inc., also a private company. Ms. Lovell previously served as a director of Cyclerion Therapeutics, Inc. and The Partnership Inc., each until her resignation in 2023. Ms. Lovell also served as a director of the New England Law Foundation and as a trustee of the Massachusetts Taxpayers Foundation, each until her resignation in 2021. She also is a member of the investment committee of Goodwill Industries of Massachusetts. Ms. Lovell received a Bachelor’s Degree in philosophy from Hamilton College and a J.D. from Boston University School of Law. We believe that Ms. Lovell is qualified to serve on our Board because of her experience in the healthcare payer and reimbursement markets, as well as government and regulatory affairs.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38"/>
        <w:gridCol w:w="60"/>
        <w:gridCol w:w="5720"/>
        <w:gridCol w:w="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rPr>
            </w:pPr>
            <w:r>
              <w:rPr>
                <w:b/>
              </w:rPr>
              <w:t>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2598" w:type="dxa"/>
        <w:jc w:val="left"/>
        <w:tblInd w:w="0" w:type="dxa"/>
        <w:tblLayout w:type="fixed"/>
        <w:tblCellMar>
          <w:top w:w="0" w:type="dxa"/>
          <w:left w:w="0" w:type="dxa"/>
          <w:bottom w:w="0" w:type="dxa"/>
          <w:right w:w="0" w:type="dxa"/>
        </w:tblCellMar>
      </w:tblPr>
      <w:tblGrid>
        <w:gridCol w:w="845"/>
        <w:gridCol w:w="60"/>
        <w:gridCol w:w="1535"/>
        <w:gridCol w:w="120"/>
        <w:gridCol w:w="38"/>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845"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Merilee</w:t>
              <w:br/>
              <w:t>Raines</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January 2021</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845"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Merilee Raines</w:t>
      </w:r>
      <w:r>
        <w:rPr>
          <w:rFonts w:ascii="arial" w:hAnsi="arial"/>
          <w:sz w:val="18"/>
        </w:rPr>
        <w:t xml:space="preserve">, age 69, has served as a member of our Board since January 2021. Ms. Raines served as Chief Financial Officer of IDEXX Laboratories, Inc. from October 2003 until her retirement in May 2013. Prior to becoming Chief Financial Officer, Ms. Raines held several management positions with IDEXX Laboratories, including Corporate Vice President of Finance, Vice President and Treasurer of Finance, Director of Finance, and Controller. IDEXX Laboratories develops, manufactures, and distributes diagnostic and information technology-based products and services primarily for companion animals, livestock, poultry, water quality and food safety, and human point of care diagnostics. Ms. Raines has served on the board of directors of Watts Water Technologies, Inc. since 2011, and serves on its audit committee and nominating and corporate governance committee. Ms. Raines has served on the board of directors of Ocular Therapeutics, Inc. since September 2021 and serves on its audit committee. Ms. Raines previously served on the board of directors of Benchmark Electronics, Inc., from 2018 until 2021. Ms. Raines has also served on the boards of directors of several private companies, including Excelitas Technologies Corporation since 2018 and previously Dead River Company from 2018 until 2021. Ms. Raines received a Bachelor’s Degree in mathematics from Bowdoin College and an MBA from the University of Chicago. We believe that Ms. Raines is qualified to serve on our Board because of her extensive financial expertise and experience as an executive and director of public companies. </w:t>
      </w:r>
    </w:p>
    <w:p>
      <w:pPr>
        <w:pStyle w:val="TextBody"/>
        <w:bidi w:val="0"/>
        <w:spacing w:before="0" w:after="0"/>
        <w:jc w:val="left"/>
        <w:rPr/>
      </w:pPr>
      <w:r>
        <w:rPr/>
        <w:t> </w:t>
      </w:r>
    </w:p>
    <w:tbl>
      <w:tblPr>
        <w:tblW w:w="2943" w:type="dxa"/>
        <w:jc w:val="left"/>
        <w:tblInd w:w="0" w:type="dxa"/>
        <w:tblLayout w:type="fixed"/>
        <w:tblCellMar>
          <w:top w:w="0" w:type="dxa"/>
          <w:left w:w="0" w:type="dxa"/>
          <w:bottom w:w="0" w:type="dxa"/>
          <w:right w:w="0" w:type="dxa"/>
        </w:tblCellMar>
      </w:tblPr>
      <w:tblGrid>
        <w:gridCol w:w="1190"/>
        <w:gridCol w:w="60"/>
        <w:gridCol w:w="1535"/>
        <w:gridCol w:w="120"/>
        <w:gridCol w:w="38"/>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9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190" w:type="dxa"/>
            <w:tcBorders>
              <w:left w:val="single" w:sz="48" w:space="0" w:color="A41F35"/>
            </w:tcBorders>
            <w:tcMar>
              <w:left w:w="16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David</w:t>
              <w:br/>
              <w:t>Weill, M.D.</w:t>
            </w:r>
          </w:p>
          <w:p>
            <w:pPr>
              <w:pStyle w:val="TableContents"/>
              <w:bidi w:val="0"/>
              <w:spacing w:before="0" w:after="20"/>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0"/>
              <w:jc w:val="left"/>
              <w:rPr/>
            </w:pPr>
            <w:r>
              <w:rPr/>
              <w:t> </w:t>
            </w:r>
            <w:r>
              <w:rPr>
                <w:rFonts w:ascii="arial" w:hAnsi="arial"/>
                <w:b/>
                <w:sz w:val="18"/>
              </w:rPr>
              <w:t>Director since:</w:t>
            </w:r>
          </w:p>
          <w:p>
            <w:pPr>
              <w:pStyle w:val="TableContents"/>
              <w:bidi w:val="0"/>
              <w:spacing w:before="0" w:after="0"/>
              <w:jc w:val="left"/>
              <w:rPr/>
            </w:pPr>
            <w:r>
              <w:rPr/>
              <w:t> </w:t>
            </w:r>
            <w:r>
              <w:rPr>
                <w:rFonts w:ascii="arial" w:hAnsi="arial"/>
                <w:sz w:val="18"/>
              </w:rPr>
              <w:t>April 2019</w:t>
            </w:r>
          </w:p>
          <w:p>
            <w:pPr>
              <w:pStyle w:val="TableContents"/>
              <w:bidi w:val="0"/>
              <w:spacing w:before="0" w:after="20"/>
              <w:jc w:val="left"/>
              <w:rPr/>
            </w:pPr>
            <w:r>
              <w:rPr/>
              <w:t> </w:t>
            </w:r>
          </w:p>
        </w:tc>
        <w:tc>
          <w:tcPr>
            <w:tcW w:w="120" w:type="dxa"/>
            <w:tcBorders>
              <w:left w:val="single" w:sz="6" w:space="0" w:color="000000"/>
            </w:tcBorders>
            <w:shd w:fill="EFECE8" w:val="clear"/>
            <w:tcMar>
              <w:left w:w="28" w:type="dxa"/>
            </w:tcM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190" w:type="dxa"/>
            <w:tcBorders>
              <w:left w:val="single" w:sz="48" w:space="0" w:color="A41F35"/>
            </w:tcBorders>
            <w:tcMar>
              <w:left w:w="160" w:type="dxa"/>
            </w:tcM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5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b/>
          <w:sz w:val="18"/>
        </w:rPr>
        <w:t>David Weill, M.D.</w:t>
      </w:r>
      <w:r>
        <w:rPr>
          <w:rFonts w:ascii="arial" w:hAnsi="arial"/>
          <w:sz w:val="18"/>
        </w:rPr>
        <w:t xml:space="preserve">, age 61, has served as a member of our Board since April 2019. Dr Weill has served since 2016 as Principal of the Weill Consulting Group, a biomedical consulting group focusing on organ transplantation and lung disease. Dr. Weill has been involved in the transplant and advanced lung disease fields for over 20 years, directing clinical programs and providing care to those afflicted with significant lung diseases. Dr. Weill served as Director of the Lung and Heart-Lung Transplant Program at Stanford University Medical Center from 2005 until 2016 and is the former Director of the Stanford Center for Advanced Lung Diseases. Dr. Weill received a Bachelor of Arts Degree from Tulane University and a M.D. degree from Tulane University Medical School. He completed his Internship and Residency in Internal Medicine at Parkland Hospital, University of Texas Southwestern and his Fellowship in Pulmonary and Critical Care Medicine and Lung Transplantation at the University of Colorado at Denver and Health Sciences Center. We believe that Dr. Weill is qualified to serve on our Board because of his experience at a major medical research institute and his expertise in organ transplantation and pulmonary disease. </w:t>
      </w:r>
    </w:p>
    <w:p>
      <w:pPr>
        <w:pStyle w:val="TextBody"/>
        <w:bidi w:val="0"/>
        <w:spacing w:before="360" w:after="0"/>
        <w:jc w:val="left"/>
        <w:rPr>
          <w:rFonts w:ascii="arial" w:hAnsi="arial"/>
          <w:b/>
          <w:color w:val="A41F35"/>
          <w:sz w:val="28"/>
        </w:rPr>
      </w:pPr>
      <w:bookmarkStart w:id="5" w:name="toc803709_1"/>
      <w:bookmarkEnd w:id="5"/>
      <w:r>
        <w:rPr>
          <w:rFonts w:ascii="arial" w:hAnsi="arial"/>
          <w:b/>
          <w:color w:val="A41F35"/>
          <w:sz w:val="28"/>
        </w:rPr>
        <w:t xml:space="preserve">Board Leadership Structure </w:t>
      </w:r>
    </w:p>
    <w:p>
      <w:pPr>
        <w:pStyle w:val="TextBody"/>
        <w:bidi w:val="0"/>
        <w:spacing w:before="120" w:after="0"/>
        <w:jc w:val="left"/>
        <w:rPr>
          <w:rFonts w:ascii="arial" w:hAnsi="arial"/>
          <w:sz w:val="18"/>
        </w:rPr>
      </w:pPr>
      <w:r>
        <w:rPr>
          <w:rFonts w:ascii="arial" w:hAnsi="arial"/>
          <w:sz w:val="18"/>
        </w:rPr>
        <w:t xml:space="preserve">Our Board is currently led by its Chairperson, Mr. Tobin. Our Board recognizes that it is important to determine an optimal board leadership structure to ensure the independent oversight of management as the Company continues to grow. We separate the roles of Chief Executive Officer and Chairperson of the Board in recognition of the differences between the two roles. The Chief Executive Officer is responsible for setting the strategic direction for the Company and the day-to-day leadership and performance of the Company, while the Chairperson provides guidance to the Chief Executive Officer and presides over meetings of the Board. We believe this separation of responsibilities provides a balanced approach to managing our Board and overseeing the Company. </w:t>
      </w:r>
    </w:p>
    <w:p>
      <w:pPr>
        <w:pStyle w:val="TextBody"/>
        <w:bidi w:val="0"/>
        <w:spacing w:before="160" w:after="0"/>
        <w:jc w:val="left"/>
        <w:rPr>
          <w:rFonts w:ascii="arial" w:hAnsi="arial"/>
          <w:sz w:val="18"/>
        </w:rPr>
      </w:pPr>
      <w:r>
        <w:rPr>
          <w:rFonts w:ascii="arial" w:hAnsi="arial"/>
          <w:sz w:val="18"/>
        </w:rPr>
        <w:t xml:space="preserve">Our Board has concluded that our current leadership structure is appropriate at this time. However, our Board will continue to periodically review our leadership structure and may make such changes in the future as it deems appropriate. </w:t>
      </w:r>
    </w:p>
    <w:p>
      <w:pPr>
        <w:pStyle w:val="TextBody"/>
        <w:bidi w:val="0"/>
        <w:spacing w:before="360" w:after="0"/>
        <w:jc w:val="left"/>
        <w:rPr>
          <w:rFonts w:ascii="arial" w:hAnsi="arial"/>
          <w:b/>
          <w:color w:val="A41F35"/>
          <w:sz w:val="28"/>
        </w:rPr>
      </w:pPr>
      <w:bookmarkStart w:id="6" w:name="toc803709_4"/>
      <w:bookmarkEnd w:id="6"/>
      <w:r>
        <w:rPr>
          <w:rFonts w:ascii="arial" w:hAnsi="arial"/>
          <w:b/>
          <w:color w:val="A41F35"/>
          <w:sz w:val="28"/>
        </w:rPr>
        <w:t xml:space="preserve">Director Independence </w:t>
      </w:r>
    </w:p>
    <w:p>
      <w:pPr>
        <w:pStyle w:val="TextBody"/>
        <w:bidi w:val="0"/>
        <w:spacing w:before="120" w:after="0"/>
        <w:jc w:val="left"/>
        <w:rPr>
          <w:rFonts w:ascii="arial" w:hAnsi="arial"/>
          <w:sz w:val="18"/>
        </w:rPr>
      </w:pPr>
      <w:r>
        <w:rPr>
          <w:rFonts w:ascii="arial" w:hAnsi="arial"/>
          <w:sz w:val="18"/>
        </w:rPr>
        <w:t xml:space="preserve">Our Board currently consists of eight (8) members. Our Board has determined that seven (7) of those members, Mr. Tobin, Mr. Basile, Mr. Gunderson, Mr. Kania, Ms. Lovell, Ms. Raines and Dr. Weill, are independent directors in accordance with the listing requirements of the Nasdaq Stock Market (“Nasdaq”). Under the rules of Nasdaq, independent directors must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155"/>
        <w:gridCol w:w="60"/>
        <w:gridCol w:w="5720"/>
        <w:gridCol w:w="60"/>
        <w:gridCol w:w="3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b/>
              </w:rPr>
            </w:pPr>
            <w:r>
              <w:rPr>
                <w:b/>
              </w:rPr>
              <w:t>8</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comprise a majority of a listed company’s board of directors. In addition, the rules of Nasdaq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Nasdaq,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by the applicable rules of Nasdaq and the Securities Exchange Act of 1934 (“Exchange Act”). </w:t>
      </w:r>
    </w:p>
    <w:p>
      <w:pPr>
        <w:pStyle w:val="TextBody"/>
        <w:bidi w:val="0"/>
        <w:spacing w:before="160" w:after="0"/>
        <w:jc w:val="left"/>
        <w:rPr>
          <w:rFonts w:ascii="arial" w:hAnsi="arial"/>
          <w:sz w:val="18"/>
        </w:rPr>
      </w:pPr>
      <w:r>
        <w:rPr>
          <w:rFonts w:ascii="arial" w:hAnsi="arial"/>
          <w:sz w:val="18"/>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before="160" w:after="0"/>
        <w:jc w:val="left"/>
        <w:rPr>
          <w:rFonts w:ascii="arial" w:hAnsi="arial"/>
          <w:sz w:val="18"/>
        </w:rPr>
      </w:pPr>
      <w:r>
        <w:rPr>
          <w:rFonts w:ascii="arial" w:hAnsi="arial"/>
          <w:sz w:val="18"/>
        </w:rPr>
        <w:t xml:space="preserve">Based upon information requested from and provided by each director concerning his or her background, employment and affiliations, including family relationships, our Board has determined that each of our directors, with the exception of Dr. Hassanein, is an “independent director” as defined under applicable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considered the relationships that each such non-employee director has with our Company and all other facts and circumstances that our Board deemed relevant in determining his or her independence, including the beneficial ownership of our capital stock by each non-employee director. Dr. Hassanein is not an independent director under these rules because he is our President and Chief Executive Officer. </w:t>
      </w:r>
    </w:p>
    <w:p>
      <w:pPr>
        <w:pStyle w:val="TextBody"/>
        <w:bidi w:val="0"/>
        <w:spacing w:before="360" w:after="0"/>
        <w:jc w:val="left"/>
        <w:rPr>
          <w:rFonts w:ascii="arial" w:hAnsi="arial"/>
          <w:b/>
          <w:color w:val="A41F35"/>
          <w:sz w:val="28"/>
        </w:rPr>
      </w:pPr>
      <w:bookmarkStart w:id="7" w:name="toc803709_5"/>
      <w:bookmarkEnd w:id="7"/>
      <w:r>
        <w:rPr>
          <w:rFonts w:ascii="arial" w:hAnsi="arial"/>
          <w:b/>
          <w:color w:val="A41F35"/>
          <w:sz w:val="28"/>
        </w:rPr>
        <w:t xml:space="preserve">Role of Board in Risk Oversight Process </w:t>
      </w:r>
    </w:p>
    <w:p>
      <w:pPr>
        <w:pStyle w:val="TextBody"/>
        <w:bidi w:val="0"/>
        <w:spacing w:before="120" w:after="0"/>
        <w:jc w:val="left"/>
        <w:rPr>
          <w:rFonts w:ascii="arial" w:hAnsi="arial"/>
          <w:sz w:val="18"/>
        </w:rPr>
      </w:pPr>
      <w:r>
        <w:rPr>
          <w:rFonts w:ascii="arial" w:hAnsi="arial"/>
          <w:sz w:val="18"/>
        </w:rPr>
        <w:t xml:space="preserve">Our Board has an active role, as a whole and also at the committee level, in overseeing the management of our risks. Our Board is responsible for general oversight of risks and regular review of information regarding our risks, including credit risks, liquidity risks and operational risks. The Compensation Committee is responsible for overseeing the management of risks associated with our compensation policies and practices. The Audit Committee is responsible for overseeing the management of risks relating to accounting matters and financial reporting. The Nominating and Corporate Governance Committee is responsible for overseeing the management of risks associated with potential conflicts of interest and significant issues of corporate social responsibility. Although each committee is responsible for evaluating certain risks and overseeing the management of such risks, the entire Board is regularly informed through discussions from committee members about such risks. Our Board believes its administration of its risk oversight function has not negatively affected our Board’s leadership structure. </w:t>
      </w:r>
    </w:p>
    <w:p>
      <w:pPr>
        <w:pStyle w:val="TextBody"/>
        <w:bidi w:val="0"/>
        <w:spacing w:before="360" w:after="0"/>
        <w:jc w:val="left"/>
        <w:rPr>
          <w:rFonts w:ascii="arial" w:hAnsi="arial"/>
          <w:b/>
          <w:color w:val="A41F35"/>
          <w:sz w:val="28"/>
        </w:rPr>
      </w:pPr>
      <w:bookmarkStart w:id="8" w:name="toc803709_6"/>
      <w:bookmarkEnd w:id="8"/>
      <w:r>
        <w:rPr>
          <w:rFonts w:ascii="arial" w:hAnsi="arial"/>
          <w:b/>
          <w:color w:val="A41F35"/>
          <w:sz w:val="28"/>
        </w:rPr>
        <w:t xml:space="preserve">Committees and Attendance </w:t>
      </w:r>
    </w:p>
    <w:p>
      <w:pPr>
        <w:pStyle w:val="TextBody"/>
        <w:bidi w:val="0"/>
        <w:spacing w:before="120" w:after="0"/>
        <w:jc w:val="left"/>
        <w:rPr>
          <w:rFonts w:ascii="arial" w:hAnsi="arial"/>
          <w:sz w:val="18"/>
        </w:rPr>
      </w:pPr>
      <w:r>
        <w:rPr>
          <w:rFonts w:ascii="arial" w:hAnsi="arial"/>
          <w:sz w:val="18"/>
        </w:rPr>
        <w:t xml:space="preserve">Our Board held seven (7) meetings during 2024. During that time, no member of our Board attended fewer than 75% of the aggregate of (i) the total number of meetings of our Board (held during the period for which he or she was a director) and (ii) the total number of meetings held by all committees of our Board on which he or she served (held during the period that such director served). </w:t>
      </w:r>
    </w:p>
    <w:p>
      <w:pPr>
        <w:pStyle w:val="TextBody"/>
        <w:bidi w:val="0"/>
        <w:spacing w:before="160" w:after="0"/>
        <w:jc w:val="left"/>
        <w:rPr>
          <w:rFonts w:ascii="arial" w:hAnsi="arial"/>
          <w:sz w:val="18"/>
        </w:rPr>
      </w:pPr>
      <w:r>
        <w:rPr>
          <w:rFonts w:ascii="arial" w:hAnsi="arial"/>
          <w:sz w:val="18"/>
        </w:rPr>
        <w:t xml:space="preserve">In addition to regular meetings of our Board, the Company’s non-management directors meet in executive sessions without management participation. </w:t>
      </w:r>
    </w:p>
    <w:p>
      <w:pPr>
        <w:pStyle w:val="TextBody"/>
        <w:bidi w:val="0"/>
        <w:spacing w:before="160" w:after="0"/>
        <w:jc w:val="left"/>
        <w:rPr>
          <w:rFonts w:ascii="arial" w:hAnsi="arial"/>
          <w:sz w:val="18"/>
        </w:rPr>
      </w:pPr>
      <w:r>
        <w:rPr>
          <w:rFonts w:ascii="arial" w:hAnsi="arial"/>
          <w:sz w:val="18"/>
        </w:rPr>
        <w:t xml:space="preserve">Our Board has established three standing committees — Audit Committee, Compensation Committee, and Nominating and Corporate Governance Committee — each of which operates under a charter that has been approved by our Board. The charters for each committee are available under the Investors/Corporate Governance page on our website at </w:t>
      </w:r>
      <w:r>
        <w:rPr>
          <w:rFonts w:ascii="arial" w:hAnsi="arial"/>
          <w:sz w:val="18"/>
          <w:u w:val="single"/>
        </w:rPr>
        <w:t>www.transmedics.com</w:t>
      </w:r>
      <w:r>
        <w:rPr>
          <w:rFonts w:ascii="arial" w:hAnsi="arial"/>
          <w:sz w:val="18"/>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033" w:type="dxa"/>
        <w:jc w:val="left"/>
        <w:tblInd w:w="0" w:type="dxa"/>
        <w:tblLayout w:type="fixed"/>
        <w:tblCellMar>
          <w:top w:w="0" w:type="dxa"/>
          <w:left w:w="0" w:type="dxa"/>
          <w:bottom w:w="0" w:type="dxa"/>
          <w:right w:w="0" w:type="dxa"/>
        </w:tblCellMar>
      </w:tblPr>
      <w:tblGrid>
        <w:gridCol w:w="38"/>
        <w:gridCol w:w="60"/>
        <w:gridCol w:w="5720"/>
        <w:gridCol w:w="60"/>
        <w:gridCol w:w="15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b/>
              </w:rPr>
            </w:pPr>
            <w:r>
              <w:rPr>
                <w:b/>
              </w:rPr>
              <w:t>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Audit Committee </w:t>
      </w:r>
    </w:p>
    <w:p>
      <w:pPr>
        <w:pStyle w:val="TextBody"/>
        <w:bidi w:val="0"/>
        <w:spacing w:before="120" w:after="0"/>
        <w:jc w:val="left"/>
        <w:rPr>
          <w:rFonts w:ascii="arial" w:hAnsi="arial"/>
          <w:sz w:val="18"/>
        </w:rPr>
      </w:pPr>
      <w:r>
        <w:rPr>
          <w:rFonts w:ascii="arial" w:hAnsi="arial"/>
          <w:sz w:val="18"/>
        </w:rPr>
        <w:t xml:space="preserve">The members of our Audit Committee are Mr. Basile, Mr. Gunderson, Mr. Kania and Ms. Raines. Ms. Raines currently chairs the Audit Committee. Our Board has determined that each member of the Audit Committee satisfies the independence standards for audit committee purposes as that term is defined by the applicable rules of Nasdaq and the Exchange Act, and that each has sufficient knowledge in financial and auditing matters to serve on the audit committee. Our Board has also determined that each of Mr. Kania, Ms. Raines and Mr. Gunderson is an “audit committee financial expert,” as defined under Item 407 of Regulation S-K. </w:t>
      </w:r>
    </w:p>
    <w:p>
      <w:pPr>
        <w:pStyle w:val="TextBody"/>
        <w:bidi w:val="0"/>
        <w:spacing w:before="160" w:after="0"/>
        <w:jc w:val="left"/>
        <w:rPr>
          <w:rFonts w:ascii="arial" w:hAnsi="arial"/>
          <w:sz w:val="18"/>
        </w:rPr>
      </w:pPr>
      <w:r>
        <w:rPr>
          <w:rFonts w:ascii="arial" w:hAnsi="arial"/>
          <w:sz w:val="18"/>
        </w:rPr>
        <w:t xml:space="preserve">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appointing, approving the compensation of, and evaluating the qualifications, performance and independence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work of our independent registered public accounting firm, including through the receipt and consideration of reports from such firm, and pre-approving all audit and permitted non-audit services to be performed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discussing with management and our independent registered public accounting firm our annual and quarterly financial statements and related disclosures, including earnings releases;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discussing with management and our independent registered public accounting firm any material issues regarding accounting principles and financial statement presentations;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coordinating our Board’s oversight of our internal control over financial reporting, disclosure controls and procedures, code of business conduct and ethics, procedures for complaints and legal and regulatory matters;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125"/>
        <w:gridCol w:w="60"/>
        <w:gridCol w:w="494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arial" w:hAnsi="arial"/>
                <w:sz w:val="18"/>
              </w:rPr>
            </w:pPr>
            <w:r>
              <w:rPr>
                <w:rFonts w:ascii="arial" w:hAnsi="arial"/>
                <w:sz w:val="18"/>
              </w:rPr>
              <w:t xml:space="preserve">discussing our risk management policies with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establishing policies regarding hiring employees from our independent registered public accounting firm and procedures for the receipt and retention of accounting related complaints and concerns;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125"/>
        <w:gridCol w:w="60"/>
        <w:gridCol w:w="795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0"/>
              <w:jc w:val="left"/>
              <w:rPr>
                <w:rFonts w:ascii="arial" w:hAnsi="arial"/>
                <w:sz w:val="18"/>
              </w:rPr>
            </w:pPr>
            <w:r>
              <w:rPr>
                <w:rFonts w:ascii="arial" w:hAnsi="arial"/>
                <w:sz w:val="18"/>
              </w:rPr>
              <w:t xml:space="preserve">meeting independently with our independent registered public accounting firm and management; </w:t>
            </w:r>
          </w:p>
        </w:tc>
      </w:tr>
    </w:tbl>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125"/>
        <w:gridCol w:w="60"/>
        <w:gridCol w:w="476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any related person transactions;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25"/>
        <w:gridCol w:w="60"/>
        <w:gridCol w:w="732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sz w:val="18"/>
              </w:rPr>
            </w:pPr>
            <w:r>
              <w:rPr>
                <w:rFonts w:ascii="arial" w:hAnsi="arial"/>
                <w:sz w:val="18"/>
              </w:rPr>
              <w:t xml:space="preserve">overseeing our guidelines and policies governing risk assessment and risk management;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125"/>
        <w:gridCol w:w="60"/>
        <w:gridCol w:w="665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65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integrity of our information technology systems, process and data;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5"/>
        <w:gridCol w:w="60"/>
        <w:gridCol w:w="498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18"/>
              </w:rPr>
            </w:pPr>
            <w:r>
              <w:rPr>
                <w:rFonts w:ascii="arial" w:hAnsi="arial"/>
                <w:sz w:val="18"/>
              </w:rPr>
              <w:t xml:space="preserve">preparing the Audit Committee report required by SEC rules;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125"/>
        <w:gridCol w:w="60"/>
        <w:gridCol w:w="777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arial" w:hAnsi="arial"/>
                <w:sz w:val="18"/>
              </w:rPr>
            </w:pPr>
            <w:r>
              <w:rPr>
                <w:rFonts w:ascii="arial" w:hAnsi="arial"/>
                <w:sz w:val="18"/>
              </w:rPr>
              <w:t xml:space="preserve">reviewing and assessing, at least annually, the adequacy of the Audit Committee’s charter; and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125"/>
        <w:gridCol w:w="60"/>
        <w:gridCol w:w="710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arial" w:hAnsi="arial"/>
                <w:sz w:val="18"/>
              </w:rPr>
            </w:pPr>
            <w:r>
              <w:rPr>
                <w:rFonts w:ascii="arial" w:hAnsi="arial"/>
                <w:sz w:val="18"/>
              </w:rPr>
              <w:t xml:space="preserve">performing, at least annually, an evaluation of the performance of the Audit Committee. </w:t>
            </w:r>
          </w:p>
        </w:tc>
      </w:tr>
    </w:tbl>
    <w:p>
      <w:pPr>
        <w:pStyle w:val="TextBody"/>
        <w:bidi w:val="0"/>
        <w:spacing w:before="160" w:after="0"/>
        <w:jc w:val="left"/>
        <w:rPr>
          <w:rFonts w:ascii="arial" w:hAnsi="arial"/>
          <w:sz w:val="18"/>
        </w:rPr>
      </w:pPr>
      <w:r>
        <w:rPr>
          <w:rFonts w:ascii="arial" w:hAnsi="arial"/>
          <w:sz w:val="18"/>
        </w:rPr>
        <w:t xml:space="preserve">All audit services and all non-audit services, other than de minimis non-audit services, to be provided to us by our independent registered public accounting firm must be approved in advance by our Audit Committee. </w:t>
      </w:r>
    </w:p>
    <w:p>
      <w:pPr>
        <w:pStyle w:val="TextBody"/>
        <w:bidi w:val="0"/>
        <w:spacing w:before="160" w:after="0"/>
        <w:jc w:val="left"/>
        <w:rPr>
          <w:rFonts w:ascii="arial" w:hAnsi="arial"/>
          <w:sz w:val="18"/>
        </w:rPr>
      </w:pPr>
      <w:r>
        <w:rPr>
          <w:rFonts w:ascii="arial" w:hAnsi="arial"/>
          <w:sz w:val="18"/>
        </w:rPr>
        <w:t xml:space="preserve">During the fiscal year ended December 31, 2024, the Audit Committee met five (5) times. The report of the Audit Committee is included in this Proxy Statement under “Report of the Audit Committee.” </w:t>
      </w:r>
    </w:p>
    <w:p>
      <w:pPr>
        <w:pStyle w:val="TextBody"/>
        <w:bidi w:val="0"/>
        <w:spacing w:before="360" w:after="0"/>
        <w:jc w:val="left"/>
        <w:rPr>
          <w:rFonts w:ascii="arial" w:hAnsi="arial"/>
          <w:b/>
          <w:sz w:val="20"/>
        </w:rPr>
      </w:pPr>
      <w:r>
        <w:rPr>
          <w:rFonts w:ascii="arial" w:hAnsi="arial"/>
          <w:b/>
          <w:sz w:val="20"/>
        </w:rPr>
        <w:t xml:space="preserve">Compensation Committee </w:t>
      </w:r>
    </w:p>
    <w:p>
      <w:pPr>
        <w:pStyle w:val="TextBody"/>
        <w:bidi w:val="0"/>
        <w:spacing w:before="120" w:after="0"/>
        <w:jc w:val="left"/>
        <w:rPr>
          <w:rFonts w:ascii="arial" w:hAnsi="arial"/>
          <w:sz w:val="18"/>
        </w:rPr>
      </w:pPr>
      <w:r>
        <w:rPr>
          <w:rFonts w:ascii="arial" w:hAnsi="arial"/>
          <w:sz w:val="18"/>
        </w:rPr>
        <w:t xml:space="preserve">The members of our Compensation Committee are Mr. Gunderson, Ms. Lovell, Ms. Raines, and Dr. Weill. Mr. Gunderson chairs the Compensation Committee. Our Board has determined that each member of the Compensation Committee satisfies the independence standards of the applicable rules of the Nasdaq Stock Market and Rule 10C-1 of the Exchange Act and are “non-employee directors” as defined in Section 16b-3 of the Exchange Act. The Compensation Committee may delegate any of the responsibilities of the full committee to subcommittees and may delegate such responsibilities of the full committee to executive officers of the Company and other persons as may be permitted by applicable laws, rules or regulations and in accordance with the listing standards set forth by Nasdaq.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10</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Our Compensation Committee’s responsibilities include: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125"/>
        <w:gridCol w:w="60"/>
        <w:gridCol w:w="761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sz w:val="18"/>
              </w:rPr>
            </w:pPr>
            <w:r>
              <w:rPr>
                <w:rFonts w:ascii="arial" w:hAnsi="arial"/>
                <w:sz w:val="18"/>
              </w:rPr>
              <w:t xml:space="preserve">assisting our Board in developing and reviewing potential candidates for executive positions;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125"/>
        <w:gridCol w:w="60"/>
        <w:gridCol w:w="960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arial" w:hAnsi="arial"/>
                <w:sz w:val="18"/>
              </w:rPr>
            </w:pPr>
            <w:r>
              <w:rPr>
                <w:rFonts w:ascii="arial" w:hAnsi="arial"/>
                <w:sz w:val="18"/>
              </w:rPr>
              <w:t xml:space="preserve">reviewing our overall compensation strategy, including base salary, incentive compensation and equity-based grants;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corporate goals and objectives relevant to the compensation of our chief executive officer and our other executive officers;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18"/>
              </w:rPr>
            </w:pPr>
            <w:r>
              <w:rPr>
                <w:rFonts w:ascii="arial" w:hAnsi="arial"/>
                <w:sz w:val="18"/>
              </w:rPr>
              <w:t xml:space="preserve">recommending to our Board the compensation of our chief executive officer and other executive officers;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125"/>
        <w:gridCol w:w="60"/>
        <w:gridCol w:w="755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arial" w:hAnsi="arial"/>
                <w:sz w:val="18"/>
              </w:rPr>
            </w:pPr>
            <w:r>
              <w:rPr>
                <w:rFonts w:ascii="arial" w:hAnsi="arial"/>
                <w:sz w:val="18"/>
              </w:rPr>
              <w:t xml:space="preserve">reviewing and making recommendations to the Board with respect to director compensation;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125"/>
        <w:gridCol w:w="60"/>
        <w:gridCol w:w="54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arial" w:hAnsi="arial"/>
                <w:sz w:val="18"/>
              </w:rPr>
            </w:pPr>
            <w:r>
              <w:rPr>
                <w:rFonts w:ascii="arial" w:hAnsi="arial"/>
                <w:sz w:val="18"/>
              </w:rPr>
              <w:t xml:space="preserve">overseeing and administering our cash and equity incentive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administer the Company’s recoupment of incentive compensation policies and make recommendations to the Board about amendments to such policies and the adoption of any new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considering and selecting, to the extent determined to be advisable, a peer group of appropriate companies for purposing of benchmarking and analysis of compensation for our executive officers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all employment contracts and other compensation, severance and change-in-control arrangements for our executive officers;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125"/>
        <w:gridCol w:w="60"/>
        <w:gridCol w:w="93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arial" w:hAnsi="arial"/>
                <w:sz w:val="18"/>
              </w:rPr>
            </w:pPr>
            <w:r>
              <w:rPr>
                <w:rFonts w:ascii="arial" w:hAnsi="arial"/>
                <w:sz w:val="18"/>
              </w:rPr>
              <w:t xml:space="preserve">recommending to our Board any stock ownership guidelines for our executive officers and non-employee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retaining, appointing or obtaining advice of a compensation consultant, legal counsel or other advisor, and determining the compensation and independence of such consultant or advisor;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preparing, if required, the compensation committee report on executive compensation for inclusion in our annual proxy statement in accordance with the proxy rules;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125"/>
        <w:gridCol w:w="60"/>
        <w:gridCol w:w="894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arial" w:hAnsi="arial"/>
                <w:sz w:val="18"/>
              </w:rPr>
            </w:pPr>
            <w:r>
              <w:rPr>
                <w:rFonts w:ascii="arial" w:hAnsi="arial"/>
                <w:sz w:val="18"/>
              </w:rPr>
              <w:t xml:space="preserve">monitoring our compliance with the requirements of Sarbanes-Oxley relating to loans to directors and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overseeing our compliance with applicable SEC rules regarding shareholder approval of certain executive compensation matters;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125"/>
        <w:gridCol w:w="60"/>
        <w:gridCol w:w="627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arial" w:hAnsi="arial"/>
                <w:sz w:val="18"/>
              </w:rPr>
            </w:pPr>
            <w:r>
              <w:rPr>
                <w:rFonts w:ascii="arial" w:hAnsi="arial"/>
                <w:sz w:val="18"/>
              </w:rPr>
              <w:t xml:space="preserve">reviewing the risks associated with our compensation policies and practices;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125"/>
        <w:gridCol w:w="60"/>
        <w:gridCol w:w="855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arial" w:hAnsi="arial"/>
                <w:sz w:val="18"/>
              </w:rPr>
            </w:pPr>
            <w:r>
              <w:rPr>
                <w:rFonts w:ascii="arial" w:hAnsi="arial"/>
                <w:sz w:val="18"/>
              </w:rPr>
              <w:t xml:space="preserve">reviewing and assessing, at least annually, the adequacy of the Compensation Committee’s charter; and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125"/>
        <w:gridCol w:w="60"/>
        <w:gridCol w:w="810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arial" w:hAnsi="arial"/>
                <w:sz w:val="18"/>
              </w:rPr>
            </w:pPr>
            <w:r>
              <w:rPr>
                <w:rFonts w:ascii="arial" w:hAnsi="arial"/>
                <w:sz w:val="18"/>
              </w:rPr>
              <w:t xml:space="preserve">performing, on an annual basis, an evaluation of the performance of the Compensation Committee. </w:t>
            </w:r>
          </w:p>
        </w:tc>
      </w:tr>
    </w:tbl>
    <w:p>
      <w:pPr>
        <w:pStyle w:val="TextBody"/>
        <w:bidi w:val="0"/>
        <w:spacing w:before="160" w:after="0"/>
        <w:jc w:val="left"/>
        <w:rPr>
          <w:rFonts w:ascii="arial" w:hAnsi="arial"/>
          <w:sz w:val="18"/>
        </w:rPr>
      </w:pPr>
      <w:r>
        <w:rPr>
          <w:rFonts w:ascii="arial" w:hAnsi="arial"/>
          <w:sz w:val="18"/>
        </w:rPr>
        <w:t xml:space="preserve">During the fiscal year ended December 31, 2024, the Compensation Committee met five (5) times. </w:t>
      </w:r>
    </w:p>
    <w:p>
      <w:pPr>
        <w:pStyle w:val="TextBody"/>
        <w:bidi w:val="0"/>
        <w:spacing w:before="360" w:after="0"/>
        <w:jc w:val="left"/>
        <w:rPr>
          <w:rFonts w:ascii="arial" w:hAnsi="arial"/>
          <w:b/>
          <w:color w:val="A41F35"/>
          <w:sz w:val="28"/>
        </w:rPr>
      </w:pPr>
      <w:bookmarkStart w:id="9" w:name="toc803709_7"/>
      <w:bookmarkEnd w:id="9"/>
      <w:r>
        <w:rPr>
          <w:rFonts w:ascii="arial" w:hAnsi="arial"/>
          <w:b/>
          <w:color w:val="A41F35"/>
          <w:sz w:val="28"/>
        </w:rPr>
        <w:t xml:space="preserve">Compensation Consultant </w:t>
      </w:r>
    </w:p>
    <w:p>
      <w:pPr>
        <w:pStyle w:val="TextBody"/>
        <w:bidi w:val="0"/>
        <w:spacing w:before="120" w:after="0"/>
        <w:jc w:val="left"/>
        <w:rPr>
          <w:rFonts w:ascii="arial" w:hAnsi="arial"/>
          <w:sz w:val="18"/>
        </w:rPr>
      </w:pPr>
      <w:r>
        <w:rPr>
          <w:rFonts w:ascii="arial" w:hAnsi="arial"/>
          <w:sz w:val="18"/>
        </w:rPr>
        <w:t xml:space="preserve">The Compensation Committee engaged Pearl Meyer &amp; Partners, LLC (“Pearl Meyer”) as its independent compensation consultant. </w:t>
      </w:r>
    </w:p>
    <w:p>
      <w:pPr>
        <w:pStyle w:val="TextBody"/>
        <w:bidi w:val="0"/>
        <w:spacing w:before="160" w:after="0"/>
        <w:jc w:val="left"/>
        <w:rPr>
          <w:rFonts w:ascii="arial" w:hAnsi="arial"/>
          <w:sz w:val="18"/>
        </w:rPr>
      </w:pPr>
      <w:r>
        <w:rPr>
          <w:rFonts w:ascii="arial" w:hAnsi="arial"/>
          <w:sz w:val="18"/>
        </w:rPr>
        <w:t xml:space="preserve">As the Compensation Committee’s independent compensation consultant, Pearl Meyer provides, analysis and recommendations to the Compensation Committee regarding: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125"/>
        <w:gridCol w:w="60"/>
        <w:gridCol w:w="558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8"/>
              </w:rPr>
            </w:pPr>
            <w:r>
              <w:rPr>
                <w:rFonts w:ascii="arial" w:hAnsi="arial"/>
                <w:sz w:val="18"/>
              </w:rPr>
              <w:t xml:space="preserve">trends and emerging topics with respect to executive compensation;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25"/>
        <w:gridCol w:w="60"/>
        <w:gridCol w:w="51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arial" w:hAnsi="arial"/>
                <w:sz w:val="18"/>
              </w:rPr>
            </w:pPr>
            <w:r>
              <w:rPr>
                <w:rFonts w:ascii="arial" w:hAnsi="arial"/>
                <w:sz w:val="18"/>
              </w:rPr>
              <w:t xml:space="preserve">peer group selection for executive compensation comparisons;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125"/>
        <w:gridCol w:w="60"/>
        <w:gridCol w:w="690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sz w:val="18"/>
              </w:rPr>
              <w:t xml:space="preserve">compensation programs for executives, directors, and our employees generally; and </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125"/>
        <w:gridCol w:w="60"/>
        <w:gridCol w:w="297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left"/>
              <w:rPr>
                <w:rFonts w:ascii="arial" w:hAnsi="arial"/>
                <w:sz w:val="18"/>
              </w:rPr>
            </w:pPr>
            <w:r>
              <w:rPr>
                <w:rFonts w:ascii="arial" w:hAnsi="arial"/>
                <w:sz w:val="18"/>
              </w:rPr>
              <w:t xml:space="preserve">stock utilization and related metrics. </w:t>
            </w:r>
          </w:p>
        </w:tc>
      </w:tr>
    </w:tbl>
    <w:p>
      <w:pPr>
        <w:pStyle w:val="TextBody"/>
        <w:bidi w:val="0"/>
        <w:spacing w:before="160" w:after="0"/>
        <w:jc w:val="left"/>
        <w:rPr>
          <w:rFonts w:ascii="arial" w:hAnsi="arial"/>
          <w:sz w:val="18"/>
        </w:rPr>
      </w:pPr>
      <w:r>
        <w:rPr>
          <w:rFonts w:ascii="arial" w:hAnsi="arial"/>
          <w:sz w:val="18"/>
        </w:rPr>
        <w:t xml:space="preserve">When requested, Pearl Meyer consultants attend meetings of the Compensation Committee, including executive sessions in which executive compensation-related matters are discussed without the presence of management. Pearl Meyer at all times reported to the Compensation Committee and not to management, although Pearl Meyer met with management for purposes of gathering information for its analyses and recommendations. </w:t>
      </w:r>
    </w:p>
    <w:p>
      <w:pPr>
        <w:pStyle w:val="TextBody"/>
        <w:bidi w:val="0"/>
        <w:spacing w:before="160" w:after="0"/>
        <w:jc w:val="left"/>
        <w:rPr>
          <w:rFonts w:ascii="arial" w:hAnsi="arial"/>
          <w:sz w:val="18"/>
        </w:rPr>
      </w:pPr>
      <w:r>
        <w:rPr>
          <w:rFonts w:ascii="arial" w:hAnsi="arial"/>
          <w:sz w:val="18"/>
        </w:rPr>
        <w:t xml:space="preserve">In determining to engage Pearl Meyer, the Compensation Committee considered the independence of Pearl Meyer, taking into consideration relevant factors, including the absence of other services provided to the Company by Pearl Meyer, as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applicable, the amount of fees the Company paid to Pearl Meyer, as applicable, as a percentage of their total revenue, the policies and procedures of Pearl Meyer that are designed to prevent conflicts of interest, any business or personal relationship of the individual compensation advisors employed by Pearl Meyer with any executive officer of the Company, any business or personal relationship the individual compensation advisors employed by Pearl Meyer have with any member of the Compensation Committee, and any stock of the Company owned by Pearl Meyer or the individual compensation advisors employed by them. The Compensation Committee has determined, based on its analysis and in light of all relevant factors, including the factors listed above, that the work of Pearl Meyer and the individual compensation advisors employed by them as compensation consultants to the Compensation Committee has not created any conflicts of interest, and that Pearl Meyer is independent pursuant to the independence standards set forth in the Nasdaq listing standards promulgated pursuant to Section 10C of the Exchange Act. </w:t>
      </w:r>
    </w:p>
    <w:p>
      <w:pPr>
        <w:pStyle w:val="TextBody"/>
        <w:bidi w:val="0"/>
        <w:spacing w:before="360" w:after="0"/>
        <w:jc w:val="left"/>
        <w:rPr>
          <w:rFonts w:ascii="arial" w:hAnsi="arial"/>
          <w:b/>
          <w:sz w:val="20"/>
        </w:rPr>
      </w:pPr>
      <w:r>
        <w:rPr>
          <w:rFonts w:ascii="arial" w:hAnsi="arial"/>
          <w:b/>
          <w:sz w:val="20"/>
        </w:rPr>
        <w:t xml:space="preserve">Nominating and Corporate Governance Committee </w:t>
      </w:r>
    </w:p>
    <w:p>
      <w:pPr>
        <w:pStyle w:val="TextBody"/>
        <w:bidi w:val="0"/>
        <w:spacing w:before="120" w:after="0"/>
        <w:jc w:val="left"/>
        <w:rPr>
          <w:rFonts w:ascii="arial" w:hAnsi="arial"/>
          <w:sz w:val="18"/>
        </w:rPr>
      </w:pPr>
      <w:r>
        <w:rPr>
          <w:rFonts w:ascii="arial" w:hAnsi="arial"/>
          <w:sz w:val="18"/>
        </w:rPr>
        <w:t xml:space="preserve">The members of our Nominating and Corporate Governance Committee are Mr. Basile, Ms. Lovell, Mr. Tobin and Dr. Weill. Mr. Basile chairs the Nominating and Corporate Governance Committee. Our Board has determined that each member of the Nominating and Corporate Governance Committee satisfies the independence standards of the applicable rules of the Nasdaq Stock Market. </w:t>
      </w:r>
    </w:p>
    <w:p>
      <w:pPr>
        <w:pStyle w:val="TextBody"/>
        <w:bidi w:val="0"/>
        <w:spacing w:before="160" w:after="0"/>
        <w:jc w:val="left"/>
        <w:rPr>
          <w:rFonts w:ascii="arial" w:hAnsi="arial"/>
          <w:sz w:val="18"/>
        </w:rPr>
      </w:pPr>
      <w:r>
        <w:rPr>
          <w:rFonts w:ascii="arial" w:hAnsi="arial"/>
          <w:sz w:val="18"/>
        </w:rPr>
        <w:t xml:space="preserve">Our Nominating and Corporate Governance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identifying individuals qualified to become members of our Board consistent with criteria approved by the Board and receiving nominations for such qualified individuals;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125"/>
        <w:gridCol w:w="60"/>
        <w:gridCol w:w="963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9635" w:type="dxa"/>
            <w:tcBorders/>
            <w:vAlign w:val="center"/>
          </w:tcPr>
          <w:p>
            <w:pPr>
              <w:pStyle w:val="TableContents"/>
              <w:bidi w:val="0"/>
              <w:spacing w:before="0" w:after="0"/>
              <w:jc w:val="left"/>
              <w:rPr>
                <w:rFonts w:ascii="arial" w:hAnsi="arial"/>
                <w:sz w:val="18"/>
              </w:rPr>
            </w:pPr>
            <w:r>
              <w:rPr>
                <w:rFonts w:ascii="arial" w:hAnsi="arial"/>
                <w:sz w:val="18"/>
              </w:rPr>
              <w:t xml:space="preserve">recommending to our Board the persons to be nominated for election as directors and to each committee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establishing a policy under which our shareholders may recommend a candidate to the Nominating and Corporate Governance Committee for consideration for nomination as a director;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125"/>
        <w:gridCol w:w="60"/>
        <w:gridCol w:w="557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18"/>
              </w:rPr>
            </w:pPr>
            <w:r>
              <w:rPr>
                <w:rFonts w:ascii="arial" w:hAnsi="arial"/>
                <w:sz w:val="18"/>
              </w:rPr>
              <w:t xml:space="preserve">reviewing and recommending committee slates on an annual basis;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25"/>
        <w:gridCol w:w="60"/>
        <w:gridCol w:w="650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arial" w:hAnsi="arial"/>
                <w:sz w:val="18"/>
              </w:rPr>
            </w:pPr>
            <w:r>
              <w:rPr>
                <w:rFonts w:ascii="arial" w:hAnsi="arial"/>
                <w:sz w:val="18"/>
              </w:rPr>
              <w:t xml:space="preserve">recommending to our Board qualified candidates to fill vacancies on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developing and recommending to our Board a set of corporate governance principals applicable to us and reviewing the principles on at least an annual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making recommendations to our Board with respect to our board leadership structure and board committee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in concert with our Board, our policies and practices with respect to significant issues of corporate social responsibility (including diversity and inclusion and community involvement) and environmental sustainability and periodically review the Company’s public disclosures with respect to such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making recommendations to our Board processes for annual evaluations of the performance of our Board, our chief executive officer and committees of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process for annual evaluations of our Board, chief executive officer and committees of our Board and certifying that performance of our chief executive officer and other members of executive management is being properly evaluated;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125"/>
        <w:gridCol w:w="60"/>
        <w:gridCol w:w="899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arial" w:hAnsi="arial"/>
                <w:sz w:val="18"/>
              </w:rPr>
            </w:pPr>
            <w:r>
              <w:rPr>
                <w:rFonts w:ascii="arial" w:hAnsi="arial"/>
                <w:sz w:val="18"/>
              </w:rPr>
              <w:t xml:space="preserve">considering and reporting to our Board any questions of possible conflicts of interest of members of our Board;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125"/>
        <w:gridCol w:w="60"/>
        <w:gridCol w:w="824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arial" w:hAnsi="arial"/>
                <w:sz w:val="18"/>
              </w:rPr>
            </w:pPr>
            <w:r>
              <w:rPr>
                <w:rFonts w:ascii="arial" w:hAnsi="arial"/>
                <w:sz w:val="18"/>
              </w:rPr>
              <w:t xml:space="preserve">providing new director orientation and continuing education for existing directors on a periodic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overseeing the maintenance and presentation to our Board of management’s plans for succession to senior management positions in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assessing, at least annually, the adequacy of the Nominating and Corporate Governance Committee’s charter;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performing, on an annual basis, an evaluation of the performance of the Nominating and Corporate Governance Committee. </w:t>
            </w:r>
          </w:p>
        </w:tc>
      </w:tr>
    </w:tbl>
    <w:p>
      <w:pPr>
        <w:pStyle w:val="TextBody"/>
        <w:bidi w:val="0"/>
        <w:spacing w:before="160" w:after="0"/>
        <w:jc w:val="left"/>
        <w:rPr>
          <w:rFonts w:ascii="arial" w:hAnsi="arial"/>
          <w:sz w:val="18"/>
        </w:rPr>
      </w:pPr>
      <w:r>
        <w:rPr>
          <w:rFonts w:ascii="arial" w:hAnsi="arial"/>
          <w:sz w:val="18"/>
        </w:rPr>
        <w:t xml:space="preserve">During the fiscal year ended December 31, 2024, the Nominating and Corporate Governance Committee met four (4) times.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12</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bookmarkStart w:id="10" w:name="toc803709_8"/>
      <w:bookmarkEnd w:id="10"/>
      <w:r>
        <w:rPr>
          <w:rFonts w:ascii="arial" w:hAnsi="arial"/>
          <w:b/>
          <w:color w:val="A41F35"/>
          <w:sz w:val="28"/>
        </w:rPr>
        <w:t xml:space="preserve">Global Code of Business Conduct and Ethics </w:t>
      </w:r>
    </w:p>
    <w:p>
      <w:pPr>
        <w:pStyle w:val="TextBody"/>
        <w:bidi w:val="0"/>
        <w:spacing w:before="120" w:after="0"/>
        <w:jc w:val="left"/>
        <w:rPr>
          <w:rFonts w:ascii="arial" w:hAnsi="arial"/>
          <w:sz w:val="18"/>
        </w:rPr>
      </w:pPr>
      <w:r>
        <w:rPr>
          <w:rFonts w:ascii="arial" w:hAnsi="arial"/>
          <w:sz w:val="18"/>
        </w:rPr>
        <w:t xml:space="preserve">We have adopted a written Global Code of Business Conduct and Ethics (“Code of Conduct”) that applies to our directors, officers and employees, including our principal executive officer, principal financial officer, principal accounting officer or controller, or persons performing similar functions. Our Code of Conduct is available under the Investors/Corporate Governance page of our website, </w:t>
      </w:r>
      <w:r>
        <w:rPr>
          <w:rFonts w:ascii="arial" w:hAnsi="arial"/>
          <w:sz w:val="18"/>
          <w:u w:val="single"/>
        </w:rPr>
        <w:t>www.transmedics.com</w:t>
      </w:r>
      <w:r>
        <w:rPr>
          <w:rFonts w:ascii="arial" w:hAnsi="arial"/>
          <w:sz w:val="18"/>
        </w:rPr>
        <w:t xml:space="preserve">. In addition, we will post on our website all other disclosures that are required by law or the listing standards of Nasdaq concerning any amendments to, or waivers from, any provision of the Code of Conduct. </w:t>
      </w:r>
    </w:p>
    <w:p>
      <w:pPr>
        <w:pStyle w:val="TextBody"/>
        <w:bidi w:val="0"/>
        <w:spacing w:before="160" w:after="0"/>
        <w:jc w:val="left"/>
        <w:rPr>
          <w:rFonts w:ascii="arial" w:hAnsi="arial"/>
          <w:sz w:val="18"/>
        </w:rPr>
      </w:pPr>
      <w:r>
        <w:rPr>
          <w:rFonts w:ascii="arial" w:hAnsi="arial"/>
          <w:sz w:val="18"/>
        </w:rPr>
        <w:t xml:space="preserve">Our Corporate Governance guidelines are available under the Investors/Corporate Governance page of our website, </w:t>
      </w:r>
      <w:r>
        <w:rPr>
          <w:rFonts w:ascii="arial" w:hAnsi="arial"/>
          <w:sz w:val="18"/>
          <w:u w:val="single"/>
        </w:rPr>
        <w:t>www.transmedics.com</w:t>
      </w:r>
      <w:r>
        <w:rPr>
          <w:rFonts w:ascii="arial" w:hAnsi="arial"/>
          <w:sz w:val="18"/>
        </w:rPr>
        <w:t xml:space="preserve">. </w:t>
      </w:r>
    </w:p>
    <w:p>
      <w:pPr>
        <w:pStyle w:val="TextBody"/>
        <w:bidi w:val="0"/>
        <w:spacing w:before="360" w:after="0"/>
        <w:jc w:val="left"/>
        <w:rPr>
          <w:rFonts w:ascii="arial" w:hAnsi="arial"/>
          <w:b/>
          <w:color w:val="A41F35"/>
          <w:sz w:val="28"/>
        </w:rPr>
      </w:pPr>
      <w:bookmarkStart w:id="11" w:name="toc803709_9"/>
      <w:bookmarkEnd w:id="11"/>
      <w:r>
        <w:rPr>
          <w:rFonts w:ascii="arial" w:hAnsi="arial"/>
          <w:b/>
          <w:color w:val="A41F35"/>
          <w:sz w:val="28"/>
        </w:rPr>
        <w:t xml:space="preserve">Director Nomination Process and Board Diversity </w:t>
      </w:r>
    </w:p>
    <w:p>
      <w:pPr>
        <w:pStyle w:val="TextBody"/>
        <w:bidi w:val="0"/>
        <w:spacing w:before="120" w:after="0"/>
        <w:jc w:val="left"/>
        <w:rPr>
          <w:rFonts w:ascii="arial" w:hAnsi="arial"/>
          <w:sz w:val="18"/>
        </w:rPr>
      </w:pPr>
      <w:r>
        <w:rPr>
          <w:rFonts w:ascii="arial" w:hAnsi="arial"/>
          <w:sz w:val="18"/>
        </w:rPr>
        <w:t xml:space="preserve">In selecting new Board members, our Nominating and Corporate Governance Committee gives weight to diversity, including diversity of professional experience, geography, and educational background. Our Nominating and Corporate Governance Committee does not have a policy (formal or informal) with respect to diversity, but the Committee takes into consideration each candidate’s ability, judgment and experience and the overall diversity and composition of our Board when recommending director nominees. We value the many kinds of diversity reflected in our director nominees. </w:t>
      </w:r>
    </w:p>
    <w:p>
      <w:pPr>
        <w:pStyle w:val="TextBody"/>
        <w:bidi w:val="0"/>
        <w:spacing w:before="160" w:after="0"/>
        <w:jc w:val="left"/>
        <w:rPr>
          <w:rFonts w:ascii="arial" w:hAnsi="arial"/>
          <w:sz w:val="18"/>
        </w:rPr>
      </w:pPr>
      <w:r>
        <w:rPr>
          <w:rFonts w:ascii="arial" w:hAnsi="arial"/>
          <w:sz w:val="18"/>
        </w:rPr>
        <w:t xml:space="preserve">Diversity is an important consideration in our director nomination process, and our Board believes that a board reflecting broad diversity contributes substantially to the oversight, advice and guidance it provides to the Company. Of our eight directors, two are female, resulting in our Board being 25% gender diverse. These two female directors, one of whom is Chairperson of our Audit Committee, have made substantial contributions to the workings of our Board. While diversity continues to be an important consideration in our director nomination process, the Board does not believe it is a strategic imperative to add another gender diverse director or any director to our Board at this time. </w:t>
      </w:r>
    </w:p>
    <w:p>
      <w:pPr>
        <w:pStyle w:val="TextBody"/>
        <w:bidi w:val="0"/>
        <w:spacing w:before="160" w:after="0"/>
        <w:jc w:val="left"/>
        <w:rPr>
          <w:rFonts w:ascii="arial" w:hAnsi="arial"/>
          <w:sz w:val="18"/>
        </w:rPr>
      </w:pPr>
      <w:r>
        <w:rPr>
          <w:rFonts w:ascii="arial" w:hAnsi="arial"/>
          <w:sz w:val="18"/>
        </w:rPr>
        <w:t xml:space="preserve">Our Board has nominated Edward Basile, the Chairperson of our Nominating and Corporate Governance Committee, as a director again this year. See Proposal No. 1 Election of Directors. The Board recommends the Company’s stockholders vote “FOR” the re-election of Mr. Basile. </w:t>
      </w:r>
    </w:p>
    <w:p>
      <w:pPr>
        <w:pStyle w:val="TextBody"/>
        <w:bidi w:val="0"/>
        <w:spacing w:before="160" w:after="0"/>
        <w:jc w:val="left"/>
        <w:rPr>
          <w:rFonts w:ascii="arial" w:hAnsi="arial"/>
          <w:sz w:val="18"/>
        </w:rPr>
      </w:pPr>
      <w:r>
        <w:rPr>
          <w:rFonts w:ascii="arial" w:hAnsi="arial"/>
          <w:sz w:val="18"/>
        </w:rPr>
        <w:t xml:space="preserve">The Nominating and Corporate Governance Committee has adopted a written policy regarding director nominations by shareholders, and the Nominating and Corporate Governance Committee will consider candidates recommended by a shareholder if made in accordance with our policy. Such nomination information should be submitted in writing to: TransMedics Group, Inc., 200 Minuteman Road, Suite 302, Andover, MA 01810, Attention: Corporate Secretary. Such nomination should provide the following information with respect to any director candidates: (i) all information relating to such candidate that would be required to be disclosed in solicitations of proxies for the election of such candidate as a director pursuant to Regulation 14A under the Exchange Act, (ii) such candidate’s written consent to be named as a nominee in the Company’s proxy statement, proxy card, or ballot, if the Board approves such inclusion, and to serve as a director if elected, (iii) a description of all direct and indirect compensation, reimbursement, indemnification and other material arrangements, agreements or understandings during the past three years, and any other material relationship, if any, between or concerning such shareholder and any Shareholder Associated Person (as defined in the Company’s Bylaws), on the one hand, and the candidate, and his or her respective affiliates or associates, on the other hand, (iv) a written statement, signed by the candidate, agreeing to complete, upon request, questionnaire(s) customary for the Company’s directors and to make available to the Nominating and Corporate Governance Committee all information reasonably requested by the Nominating and Corporate Governance Committee in connection with the Nominating and Corporate Governance Committee’s consideration of the candidate, and (v) a description of the candidate’s qualifications as a director, including consideration for the Board membership criteria as set forth in the Company’s Corporate Governance Guidelines. The Nominating and Corporate Governance Committee will evaluate candidates recommended by shareholders on the same basis as candidates recommended by other sources, including evaluating the candidate against the standard and qualifications set out in the Company’s Corporate Governance Guidelines and assessing a candidate’s experience in the context of the current composition of the Board. </w:t>
      </w:r>
    </w:p>
    <w:p>
      <w:pPr>
        <w:pStyle w:val="TextBody"/>
        <w:bidi w:val="0"/>
        <w:spacing w:before="160" w:after="0"/>
        <w:jc w:val="left"/>
        <w:rPr>
          <w:rFonts w:ascii="arial" w:hAnsi="arial"/>
          <w:sz w:val="18"/>
        </w:rPr>
      </w:pPr>
      <w:r>
        <w:rPr>
          <w:rFonts w:ascii="arial" w:hAnsi="arial"/>
          <w:sz w:val="18"/>
        </w:rPr>
        <w:t xml:space="preserve">Shareholders also have the right under our Bylaws to directly nominate director candidates for election at an annual meeting of shareholders, without any action or recommendation on the part of the Nominating and Corporate Governance Committee or our Board, by submitting to the Company as to each nominee that the shareholder proposes for election or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re-election as a director (i) all information relating to such nominee that would be required to be disclosed in solicitations of proxies for the election of such nominee as a director pursuant to Regulation 14A under the Exchange Act and such nominee’s written consent (I) to be named as a nominee in the Company’s proxy statement, proxy card, and/or ballot, if the Board approves such inclusion, and (II) to serve as a director if elected, and (ii) a description of all direct and indirect compensation, reimbursement, indemnification and other material arrangements, agreements or understandings during the past three years, and any other material relationship, if any, between or concerning such shareholder and any Shareholder Associated Person, on the one hand, and the proposed nominee, and his or her respective affiliates or associates, on the other hand. Any such nomination must be made by a shareholder of record of the Company at the time of making such nomination and meet such other requirements as are set forth in the Company’s Bylaws. Additionally, any shareholder that intends to solicit proxies in support of a director nominee other than our Board’s nominees also must comply with Rule 14a-19 under the Exchange Act. </w:t>
      </w:r>
    </w:p>
    <w:p>
      <w:pPr>
        <w:pStyle w:val="TextBody"/>
        <w:bidi w:val="0"/>
        <w:spacing w:before="360" w:after="0"/>
        <w:jc w:val="left"/>
        <w:rPr>
          <w:rFonts w:ascii="arial" w:hAnsi="arial"/>
          <w:b/>
          <w:color w:val="A41F35"/>
          <w:sz w:val="28"/>
        </w:rPr>
      </w:pPr>
      <w:bookmarkStart w:id="12" w:name="toc803709_10"/>
      <w:bookmarkEnd w:id="12"/>
      <w:r>
        <w:rPr>
          <w:rFonts w:ascii="arial" w:hAnsi="arial"/>
          <w:b/>
          <w:color w:val="A41F35"/>
          <w:sz w:val="28"/>
        </w:rPr>
        <w:t xml:space="preserve">Communication with Directors </w:t>
      </w:r>
    </w:p>
    <w:p>
      <w:pPr>
        <w:pStyle w:val="TextBody"/>
        <w:bidi w:val="0"/>
        <w:spacing w:before="120" w:after="0"/>
        <w:jc w:val="left"/>
        <w:rPr>
          <w:rFonts w:ascii="arial" w:hAnsi="arial"/>
          <w:sz w:val="18"/>
        </w:rPr>
      </w:pPr>
      <w:r>
        <w:rPr>
          <w:rFonts w:ascii="arial" w:hAnsi="arial"/>
          <w:sz w:val="18"/>
        </w:rPr>
        <w:t xml:space="preserve">Any shareholder or other interested parties desiring to communicate with our Board, or one or more of our directors, may send a letter addressed to the Board of Directors, TransMedics Group, Inc., 200 Minuteman Road, Suite 302, Andover, MA 01810, Attention: Corporate Secretary. All such letters will be promptly forwarded to the appropriate members of our Board or individual directors, as applicable, by the Corporate Secretary. The mailing envelope should contain a clear notation that the enclosed letter is a “Shareholder-Board Communication” or “Shareholder-Director Communication.” All such letters should clearly state whether the intended recipients are all members of our Board or certain specified individual directors. </w:t>
      </w:r>
    </w:p>
    <w:p>
      <w:pPr>
        <w:pStyle w:val="TextBody"/>
        <w:bidi w:val="0"/>
        <w:spacing w:before="360" w:after="0"/>
        <w:jc w:val="left"/>
        <w:rPr>
          <w:rFonts w:ascii="arial" w:hAnsi="arial"/>
          <w:b/>
          <w:color w:val="A41F35"/>
          <w:sz w:val="28"/>
        </w:rPr>
      </w:pPr>
      <w:bookmarkStart w:id="13" w:name="toc803709_11"/>
      <w:bookmarkEnd w:id="13"/>
      <w:r>
        <w:rPr>
          <w:rFonts w:ascii="arial" w:hAnsi="arial"/>
          <w:b/>
          <w:color w:val="A41F35"/>
          <w:sz w:val="28"/>
        </w:rPr>
        <w:t xml:space="preserve">Director Attendance at Annual Meeting </w:t>
      </w:r>
    </w:p>
    <w:p>
      <w:pPr>
        <w:pStyle w:val="TextBody"/>
        <w:bidi w:val="0"/>
        <w:spacing w:before="120" w:after="0"/>
        <w:jc w:val="left"/>
        <w:rPr>
          <w:rFonts w:ascii="arial" w:hAnsi="arial"/>
          <w:sz w:val="18"/>
        </w:rPr>
      </w:pPr>
      <w:r>
        <w:rPr>
          <w:rFonts w:ascii="arial" w:hAnsi="arial"/>
          <w:sz w:val="18"/>
        </w:rPr>
        <w:t xml:space="preserve">While we do not have a formal policy regarding director attendance at the Annual Meeting, we expect our Board members to prepare for, attend and participate in all Board and applicable committee meetings, including by means of remote communication. Each of our directors attended our 2024 Annual Meeting. </w:t>
      </w:r>
    </w:p>
    <w:p>
      <w:pPr>
        <w:pStyle w:val="TextBody"/>
        <w:bidi w:val="0"/>
        <w:spacing w:before="360" w:after="0"/>
        <w:jc w:val="left"/>
        <w:rPr>
          <w:rFonts w:ascii="arial" w:hAnsi="arial"/>
          <w:b/>
          <w:color w:val="A41F35"/>
          <w:sz w:val="28"/>
        </w:rPr>
      </w:pPr>
      <w:bookmarkStart w:id="14" w:name="toc803709_12"/>
      <w:bookmarkEnd w:id="14"/>
      <w:r>
        <w:rPr>
          <w:rFonts w:ascii="arial" w:hAnsi="arial"/>
          <w:b/>
          <w:color w:val="A41F35"/>
          <w:sz w:val="28"/>
        </w:rPr>
        <w:t xml:space="preserve">Non-Employee Director Compensation </w:t>
      </w:r>
    </w:p>
    <w:p>
      <w:pPr>
        <w:pStyle w:val="TextBody"/>
        <w:bidi w:val="0"/>
        <w:spacing w:before="120" w:after="0"/>
        <w:jc w:val="left"/>
        <w:rPr>
          <w:rFonts w:ascii="arial" w:hAnsi="arial"/>
          <w:sz w:val="18"/>
        </w:rPr>
      </w:pPr>
      <w:r>
        <w:rPr>
          <w:rFonts w:ascii="arial" w:hAnsi="arial"/>
          <w:sz w:val="18"/>
        </w:rPr>
        <w:t xml:space="preserve">The following table presents the total compensation for each person who served as a non-employee member of our Board during 2024. Other than as set forth in the table and described more fully below, we did not pay any compensation to any of the other non-employee members of our Board. Dr. Hassanein, our President and Chief Executive Officer, receives no compensation for his services as a director and, as a result, is not included in the table below. The compensation received by Dr. Hassanein for his services as an employee in the fiscal year ended December 31, 2024 is described in the “Summary Compensation Table” and the accompanying narrative description. </w:t>
      </w:r>
    </w:p>
    <w:p>
      <w:pPr>
        <w:pStyle w:val="TextBody"/>
        <w:bidi w:val="0"/>
        <w:spacing w:before="0" w:after="0"/>
        <w:jc w:val="left"/>
        <w:rPr/>
      </w:pPr>
      <w:r>
        <w:rPr/>
        <w:t> </w:t>
      </w:r>
    </w:p>
    <w:tbl>
      <w:tblPr>
        <w:tblW w:w="8004" w:type="dxa"/>
        <w:jc w:val="left"/>
        <w:tblInd w:w="0" w:type="dxa"/>
        <w:tblLayout w:type="fixed"/>
        <w:tblCellMar>
          <w:top w:w="0" w:type="dxa"/>
          <w:left w:w="0" w:type="dxa"/>
          <w:bottom w:w="0" w:type="dxa"/>
          <w:right w:w="0" w:type="dxa"/>
        </w:tblCellMar>
      </w:tblPr>
      <w:tblGrid>
        <w:gridCol w:w="1835"/>
        <w:gridCol w:w="120"/>
        <w:gridCol w:w="78"/>
        <w:gridCol w:w="78"/>
        <w:gridCol w:w="1047"/>
        <w:gridCol w:w="32"/>
        <w:gridCol w:w="120"/>
        <w:gridCol w:w="60"/>
        <w:gridCol w:w="60"/>
        <w:gridCol w:w="800"/>
        <w:gridCol w:w="23"/>
        <w:gridCol w:w="120"/>
        <w:gridCol w:w="60"/>
        <w:gridCol w:w="60"/>
        <w:gridCol w:w="800"/>
        <w:gridCol w:w="23"/>
        <w:gridCol w:w="120"/>
        <w:gridCol w:w="127"/>
        <w:gridCol w:w="127"/>
        <w:gridCol w:w="1186"/>
        <w:gridCol w:w="50"/>
        <w:gridCol w:w="120"/>
        <w:gridCol w:w="60"/>
        <w:gridCol w:w="60"/>
        <w:gridCol w:w="800"/>
        <w:gridCol w:w="38"/>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3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Fees earned</w:t>
              <w:br/>
              <w:t>or paid</w:t>
              <w:br/>
              <w:t>in cash</w:t>
              <w:br/>
              <w:t>($)(1)</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Stock</w:t>
              <w:br/>
              <w:t>awards</w:t>
              <w:br/>
              <w:t>($)(2)</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Option</w:t>
              <w:br/>
              <w:t>awards</w:t>
              <w:br/>
              <w:t>($)(3)</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All Other</w:t>
              <w:br/>
              <w:t>Compensation</w:t>
              <w:br/>
              <w:t>($)(4)</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58"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Total</w:t>
              <w:br/>
              <w:t>($)</w:t>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355"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0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James R. Tobin</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047" w:type="dxa"/>
            <w:tcBorders/>
            <w:shd w:fill="EFECE8" w:val="clear"/>
            <w:vAlign w:val="center"/>
          </w:tcPr>
          <w:p>
            <w:pPr>
              <w:pStyle w:val="TableContents"/>
              <w:bidi w:val="0"/>
              <w:spacing w:before="0" w:after="283"/>
              <w:jc w:val="right"/>
              <w:rPr/>
            </w:pPr>
            <w:r>
              <w:rPr/>
              <w:t>100,000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100,672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100,185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186" w:type="dxa"/>
            <w:tcBorders/>
            <w:shd w:fill="EFECE8" w:val="clear"/>
            <w:vAlign w:val="center"/>
          </w:tcPr>
          <w:p>
            <w:pPr>
              <w:pStyle w:val="TableContents"/>
              <w:bidi w:val="0"/>
              <w:spacing w:before="0" w:after="283"/>
              <w:jc w:val="right"/>
              <w:rPr/>
            </w:pPr>
            <w:r>
              <w:rPr/>
              <w:t>—</w:t>
            </w:r>
          </w:p>
        </w:tc>
        <w:tc>
          <w:tcPr>
            <w:tcW w:w="5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300,857</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078"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Edward M. Basile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70,500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100,672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100,185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724</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272,081</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355"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0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Thomas J. Gunderson</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047" w:type="dxa"/>
            <w:tcBorders/>
            <w:shd w:fill="EFECE8" w:val="clear"/>
            <w:vAlign w:val="center"/>
          </w:tcPr>
          <w:p>
            <w:pPr>
              <w:pStyle w:val="TableContents"/>
              <w:bidi w:val="0"/>
              <w:spacing w:before="0" w:after="283"/>
              <w:jc w:val="right"/>
              <w:rPr/>
            </w:pPr>
            <w:r>
              <w:rPr/>
              <w:t>75,000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100,672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100,185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186" w:type="dxa"/>
            <w:tcBorders/>
            <w:shd w:fill="EFECE8" w:val="clear"/>
            <w:vAlign w:val="center"/>
          </w:tcPr>
          <w:p>
            <w:pPr>
              <w:pStyle w:val="TableContents"/>
              <w:bidi w:val="0"/>
              <w:spacing w:before="0" w:after="283"/>
              <w:jc w:val="right"/>
              <w:rPr/>
            </w:pPr>
            <w:r>
              <w:rPr/>
              <w:t>3,008</w:t>
            </w:r>
          </w:p>
        </w:tc>
        <w:tc>
          <w:tcPr>
            <w:tcW w:w="5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278,865</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078"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Edwin M. Kania, Jr.</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60,000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100,672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100,185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260,857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355"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0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Stephanie Lovell</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047" w:type="dxa"/>
            <w:tcBorders/>
            <w:shd w:fill="EFECE8" w:val="clear"/>
            <w:vAlign w:val="center"/>
          </w:tcPr>
          <w:p>
            <w:pPr>
              <w:pStyle w:val="TableContents"/>
              <w:bidi w:val="0"/>
              <w:spacing w:before="0" w:after="283"/>
              <w:jc w:val="right"/>
              <w:rPr/>
            </w:pPr>
            <w:r>
              <w:rPr/>
              <w:t>62,500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100,672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100,185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186" w:type="dxa"/>
            <w:tcBorders/>
            <w:shd w:fill="EFECE8" w:val="clear"/>
            <w:vAlign w:val="center"/>
          </w:tcPr>
          <w:p>
            <w:pPr>
              <w:pStyle w:val="TableContents"/>
              <w:bidi w:val="0"/>
              <w:spacing w:before="0" w:after="283"/>
              <w:jc w:val="right"/>
              <w:rPr/>
            </w:pPr>
            <w:r>
              <w:rPr/>
              <w:t>—</w:t>
            </w:r>
          </w:p>
        </w:tc>
        <w:tc>
          <w:tcPr>
            <w:tcW w:w="5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263,357</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078"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Merilee Raines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77,500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100,672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100,185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952</w:t>
            </w:r>
          </w:p>
        </w:tc>
        <w:tc>
          <w:tcPr>
            <w:tcW w:w="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279,309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355"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0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David Weill, M.D.</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8"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8"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047" w:type="dxa"/>
            <w:tcBorders>
              <w:bottom w:val="single" w:sz="8" w:space="0" w:color="A41F35"/>
            </w:tcBorders>
            <w:shd w:fill="EFECE8" w:val="clear"/>
            <w:tcMar>
              <w:bottom w:w="40" w:type="dxa"/>
            </w:tcMar>
            <w:vAlign w:val="center"/>
          </w:tcPr>
          <w:p>
            <w:pPr>
              <w:pStyle w:val="TableContents"/>
              <w:bidi w:val="0"/>
              <w:spacing w:before="0" w:after="283"/>
              <w:jc w:val="right"/>
              <w:rPr/>
            </w:pPr>
            <w:r>
              <w:rPr/>
              <w:t>62,500</w:t>
            </w:r>
          </w:p>
        </w:tc>
        <w:tc>
          <w:tcPr>
            <w:tcW w:w="32"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shd w:fill="EFECE8" w:val="clear"/>
            <w:tcMar>
              <w:bottom w:w="40" w:type="dxa"/>
            </w:tcMar>
            <w:vAlign w:val="center"/>
          </w:tcPr>
          <w:p>
            <w:pPr>
              <w:pStyle w:val="TableContents"/>
              <w:bidi w:val="0"/>
              <w:spacing w:before="0" w:after="283"/>
              <w:jc w:val="right"/>
              <w:rPr/>
            </w:pPr>
            <w:r>
              <w:rPr/>
              <w:t>100,672</w:t>
            </w:r>
          </w:p>
        </w:tc>
        <w:tc>
          <w:tcPr>
            <w:tcW w:w="23"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shd w:fill="EFECE8" w:val="clear"/>
            <w:tcMar>
              <w:bottom w:w="40" w:type="dxa"/>
            </w:tcMar>
            <w:vAlign w:val="center"/>
          </w:tcPr>
          <w:p>
            <w:pPr>
              <w:pStyle w:val="TableContents"/>
              <w:bidi w:val="0"/>
              <w:spacing w:before="0" w:after="283"/>
              <w:jc w:val="right"/>
              <w:rPr/>
            </w:pPr>
            <w:r>
              <w:rPr/>
              <w:t>100,185</w:t>
            </w:r>
          </w:p>
        </w:tc>
        <w:tc>
          <w:tcPr>
            <w:tcW w:w="23"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7"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7"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186" w:type="dxa"/>
            <w:tcBorders>
              <w:bottom w:val="single" w:sz="8" w:space="0" w:color="A41F35"/>
            </w:tcBorders>
            <w:shd w:fill="EFECE8" w:val="clear"/>
            <w:tcMar>
              <w:bottom w:w="40" w:type="dxa"/>
            </w:tcMar>
            <w:vAlign w:val="center"/>
          </w:tcPr>
          <w:p>
            <w:pPr>
              <w:pStyle w:val="TableContents"/>
              <w:bidi w:val="0"/>
              <w:spacing w:before="0" w:after="283"/>
              <w:jc w:val="right"/>
              <w:rPr/>
            </w:pPr>
            <w:r>
              <w:rPr/>
              <w:t>—</w:t>
            </w:r>
          </w:p>
        </w:tc>
        <w:tc>
          <w:tcPr>
            <w:tcW w:w="50"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shd w:fill="EFECE8" w:val="clear"/>
            <w:tcMar>
              <w:bottom w:w="40" w:type="dxa"/>
            </w:tcMar>
            <w:vAlign w:val="center"/>
          </w:tcPr>
          <w:p>
            <w:pPr>
              <w:pStyle w:val="TableContents"/>
              <w:bidi w:val="0"/>
              <w:spacing w:before="0" w:after="283"/>
              <w:jc w:val="right"/>
              <w:rPr/>
            </w:pPr>
            <w:r>
              <w:rPr/>
              <w:t>263,357</w:t>
            </w:r>
          </w:p>
        </w:tc>
        <w:tc>
          <w:tcPr>
            <w:tcW w:w="38"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aggregate cash compensation paid to each of our non-employee directors in respect of the fiscal year ended December 31, 2024.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14</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aggregate grant date fair value of RSUs granted to our non-employee directors during the fiscal year ended December 31, 2024, computed in accordance with FASB ASC 718, excluding the effect of estimated forfeitures. For RSUs, the grant date fair value was calculated by multiplying the closing price of the underlying shares of our common stock on the date of grant by the number of RSUs granted. The assumptions used to value the RSUs for this purpose are set forth in Note 10 to our financial statements filed with our Annual Report on Form 10-K for the fiscal year ended December 31, 2024. These amounts do not represent the actual amounts paid to or realized by the director for these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aggregate grant date fair value of an option to purchase our common stock granted to each of our non-employee directors in the fiscal year ended December 31, 2024, computed in accordance with FASB ASC 718, excluding the effect of estimated forfeitures. The assumptions used to value this option for this purpose are set forth in Note 10 to our financial statements filed with our Annual Report on Form 10-K for the fiscal year ended December 31, 2024. These amounts do not represent the actual amounts paid to or realized by the director for these awards.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305"/>
        <w:gridCol w:w="9365"/>
      </w:tblGrid>
      <w:tr>
        <w:trPr/>
        <w:tc>
          <w:tcPr>
            <w:tcW w:w="305" w:type="dxa"/>
            <w:tcBorders/>
            <w:vAlign w:val="center"/>
          </w:tcPr>
          <w:p>
            <w:pPr>
              <w:pStyle w:val="TableContents"/>
              <w:bidi w:val="0"/>
              <w:spacing w:before="0" w:after="283"/>
              <w:jc w:val="left"/>
              <w:rPr/>
            </w:pPr>
            <w:r>
              <w:rPr/>
              <w:t>(4)</w:t>
            </w:r>
          </w:p>
        </w:tc>
        <w:tc>
          <w:tcPr>
            <w:tcW w:w="9365"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travel expense reimbursements issued to certain of our non-employee directors. </w:t>
            </w:r>
          </w:p>
        </w:tc>
      </w:tr>
    </w:tbl>
    <w:p>
      <w:pPr>
        <w:pStyle w:val="TextBody"/>
        <w:bidi w:val="0"/>
        <w:spacing w:before="160" w:after="0"/>
        <w:jc w:val="left"/>
        <w:rPr>
          <w:rFonts w:ascii="arial" w:hAnsi="arial"/>
          <w:sz w:val="18"/>
        </w:rPr>
      </w:pPr>
      <w:r>
        <w:rPr>
          <w:rFonts w:ascii="arial" w:hAnsi="arial"/>
          <w:sz w:val="18"/>
        </w:rPr>
        <w:t xml:space="preserve">As of December 31, 2024, our non-employee directors held options to purchase the number of shares of common stock set forth in the table below. </w:t>
      </w:r>
    </w:p>
    <w:p>
      <w:pPr>
        <w:pStyle w:val="TextBody"/>
        <w:bidi w:val="0"/>
        <w:spacing w:before="0" w:after="0"/>
        <w:jc w:val="left"/>
        <w:rPr/>
      </w:pPr>
      <w:r>
        <w:rPr/>
        <w:t> </w:t>
      </w:r>
    </w:p>
    <w:tbl>
      <w:tblPr>
        <w:tblW w:w="5355" w:type="dxa"/>
        <w:jc w:val="left"/>
        <w:tblInd w:w="0" w:type="dxa"/>
        <w:tblLayout w:type="fixed"/>
        <w:tblCellMar>
          <w:top w:w="0" w:type="dxa"/>
          <w:left w:w="0" w:type="dxa"/>
          <w:bottom w:w="0" w:type="dxa"/>
          <w:right w:w="0" w:type="dxa"/>
        </w:tblCellMar>
      </w:tblPr>
      <w:tblGrid>
        <w:gridCol w:w="1835"/>
        <w:gridCol w:w="120"/>
        <w:gridCol w:w="129"/>
        <w:gridCol w:w="129"/>
        <w:gridCol w:w="821"/>
        <w:gridCol w:w="51"/>
        <w:gridCol w:w="120"/>
        <w:gridCol w:w="153"/>
        <w:gridCol w:w="153"/>
        <w:gridCol w:w="1744"/>
        <w:gridCol w:w="100"/>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3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w:t>
              <w:br/>
              <w:t>Unvested</w:t>
              <w:br/>
              <w:t>RSUs</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15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Shares Subject to</w:t>
              <w:br/>
              <w:t>Outstanding Options</w:t>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227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James R. Tobin</w:t>
            </w:r>
          </w:p>
        </w:tc>
        <w:tc>
          <w:tcPr>
            <w:tcW w:w="120"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821" w:type="dxa"/>
            <w:tcBorders/>
            <w:shd w:fill="EFECE8" w:val="clear"/>
            <w:vAlign w:val="center"/>
          </w:tcPr>
          <w:p>
            <w:pPr>
              <w:pStyle w:val="TableContents"/>
              <w:bidi w:val="0"/>
              <w:spacing w:before="0" w:after="283"/>
              <w:jc w:val="right"/>
              <w:rPr/>
            </w:pPr>
            <w:r>
              <w:rPr/>
              <w:t>732</w:t>
            </w:r>
          </w:p>
        </w:tc>
        <w:tc>
          <w:tcPr>
            <w:tcW w:w="5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744" w:type="dxa"/>
            <w:tcBorders/>
            <w:shd w:fill="EFECE8" w:val="clear"/>
            <w:vAlign w:val="center"/>
          </w:tcPr>
          <w:p>
            <w:pPr>
              <w:pStyle w:val="TableContents"/>
              <w:bidi w:val="0"/>
              <w:spacing w:before="0" w:after="283"/>
              <w:jc w:val="right"/>
              <w:rPr/>
            </w:pPr>
            <w:r>
              <w:rPr/>
              <w:t>46,004</w:t>
            </w:r>
          </w:p>
        </w:tc>
        <w:tc>
          <w:tcPr>
            <w:tcW w:w="100"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Edward M. Basile</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732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51,789</w:t>
            </w:r>
          </w:p>
        </w:tc>
        <w:tc>
          <w:tcPr>
            <w:tcW w:w="100"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227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Thomas J. Gunderson</w:t>
            </w:r>
          </w:p>
        </w:tc>
        <w:tc>
          <w:tcPr>
            <w:tcW w:w="120"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821" w:type="dxa"/>
            <w:tcBorders/>
            <w:shd w:fill="EFECE8" w:val="clear"/>
            <w:vAlign w:val="center"/>
          </w:tcPr>
          <w:p>
            <w:pPr>
              <w:pStyle w:val="TableContents"/>
              <w:bidi w:val="0"/>
              <w:spacing w:before="0" w:after="283"/>
              <w:jc w:val="right"/>
              <w:rPr/>
            </w:pPr>
            <w:r>
              <w:rPr/>
              <w:t>732</w:t>
            </w:r>
          </w:p>
        </w:tc>
        <w:tc>
          <w:tcPr>
            <w:tcW w:w="5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744" w:type="dxa"/>
            <w:tcBorders/>
            <w:shd w:fill="EFECE8" w:val="clear"/>
            <w:vAlign w:val="center"/>
          </w:tcPr>
          <w:p>
            <w:pPr>
              <w:pStyle w:val="TableContents"/>
              <w:bidi w:val="0"/>
              <w:spacing w:before="0" w:after="283"/>
              <w:jc w:val="right"/>
              <w:rPr/>
            </w:pPr>
            <w:r>
              <w:rPr/>
              <w:t>65,289</w:t>
            </w:r>
          </w:p>
        </w:tc>
        <w:tc>
          <w:tcPr>
            <w:tcW w:w="100"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Edwin M. Kania, Jr.</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732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30,070</w:t>
            </w:r>
          </w:p>
        </w:tc>
        <w:tc>
          <w:tcPr>
            <w:tcW w:w="100"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227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0"/>
              <w:jc w:val="left"/>
              <w:rPr>
                <w:rFonts w:ascii="arial" w:hAnsi="arial"/>
                <w:sz w:val="18"/>
              </w:rPr>
            </w:pPr>
            <w:r>
              <w:rPr>
                <w:rFonts w:ascii="arial" w:hAnsi="arial"/>
                <w:sz w:val="18"/>
              </w:rPr>
              <w:t>Stephanie Lovell</w:t>
            </w:r>
          </w:p>
        </w:tc>
        <w:tc>
          <w:tcPr>
            <w:tcW w:w="120"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129" w:type="dxa"/>
            <w:tcBorders/>
            <w:shd w:fill="EFECE8" w:val="clear"/>
            <w:vAlign w:val="center"/>
          </w:tcPr>
          <w:p>
            <w:pPr>
              <w:pStyle w:val="TableContents"/>
              <w:bidi w:val="0"/>
              <w:spacing w:before="0" w:after="283"/>
              <w:jc w:val="left"/>
              <w:rPr/>
            </w:pPr>
            <w:r>
              <w:rPr/>
              <w:t> </w:t>
            </w:r>
          </w:p>
        </w:tc>
        <w:tc>
          <w:tcPr>
            <w:tcW w:w="821" w:type="dxa"/>
            <w:tcBorders/>
            <w:shd w:fill="EFECE8" w:val="clear"/>
            <w:vAlign w:val="center"/>
          </w:tcPr>
          <w:p>
            <w:pPr>
              <w:pStyle w:val="TableContents"/>
              <w:bidi w:val="0"/>
              <w:spacing w:before="0" w:after="283"/>
              <w:jc w:val="right"/>
              <w:rPr/>
            </w:pPr>
            <w:r>
              <w:rPr/>
              <w:t>732</w:t>
            </w:r>
          </w:p>
        </w:tc>
        <w:tc>
          <w:tcPr>
            <w:tcW w:w="5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53" w:type="dxa"/>
            <w:tcBorders/>
            <w:shd w:fill="EFECE8" w:val="clear"/>
            <w:vAlign w:val="center"/>
          </w:tcPr>
          <w:p>
            <w:pPr>
              <w:pStyle w:val="TableContents"/>
              <w:bidi w:val="0"/>
              <w:spacing w:before="0" w:after="283"/>
              <w:jc w:val="left"/>
              <w:rPr/>
            </w:pPr>
            <w:r>
              <w:rPr/>
              <w:t> </w:t>
            </w:r>
          </w:p>
        </w:tc>
        <w:tc>
          <w:tcPr>
            <w:tcW w:w="1744" w:type="dxa"/>
            <w:tcBorders/>
            <w:shd w:fill="EFECE8" w:val="clear"/>
            <w:vAlign w:val="center"/>
          </w:tcPr>
          <w:p>
            <w:pPr>
              <w:pStyle w:val="TableContents"/>
              <w:bidi w:val="0"/>
              <w:spacing w:before="0" w:after="283"/>
              <w:jc w:val="right"/>
              <w:rPr/>
            </w:pPr>
            <w:r>
              <w:rPr/>
              <w:t>26,263</w:t>
            </w:r>
          </w:p>
        </w:tc>
        <w:tc>
          <w:tcPr>
            <w:tcW w:w="100" w:type="dxa"/>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2270" w:type="dxa"/>
            <w:gridSpan w:val="5"/>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arial" w:hAnsi="arial"/>
                <w:sz w:val="18"/>
              </w:rPr>
            </w:pPr>
            <w:r>
              <w:rPr>
                <w:rFonts w:ascii="arial" w:hAnsi="arial"/>
                <w:sz w:val="18"/>
              </w:rPr>
              <w:t>Merilee Raines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right"/>
              <w:rPr/>
            </w:pPr>
            <w:r>
              <w:rPr/>
              <w:t>732</w:t>
            </w:r>
          </w:p>
        </w:tc>
        <w:tc>
          <w:tcPr>
            <w:tcW w:w="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36,820</w:t>
            </w:r>
          </w:p>
        </w:tc>
        <w:tc>
          <w:tcPr>
            <w:tcW w:w="100"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227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83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David Weill, M.D.</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9"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9"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821" w:type="dxa"/>
            <w:tcBorders>
              <w:bottom w:val="single" w:sz="8" w:space="0" w:color="A41F35"/>
            </w:tcBorders>
            <w:shd w:fill="EFECE8" w:val="clear"/>
            <w:tcMar>
              <w:bottom w:w="40" w:type="dxa"/>
            </w:tcMar>
            <w:vAlign w:val="center"/>
          </w:tcPr>
          <w:p>
            <w:pPr>
              <w:pStyle w:val="TableContents"/>
              <w:bidi w:val="0"/>
              <w:spacing w:before="0" w:after="283"/>
              <w:jc w:val="right"/>
              <w:rPr/>
            </w:pPr>
            <w:r>
              <w:rPr/>
              <w:t>732</w:t>
            </w:r>
          </w:p>
        </w:tc>
        <w:tc>
          <w:tcPr>
            <w:tcW w:w="51"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53"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53"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744" w:type="dxa"/>
            <w:tcBorders>
              <w:bottom w:val="single" w:sz="8" w:space="0" w:color="A41F35"/>
            </w:tcBorders>
            <w:shd w:fill="EFECE8" w:val="clear"/>
            <w:tcMar>
              <w:bottom w:w="40" w:type="dxa"/>
            </w:tcMar>
            <w:vAlign w:val="center"/>
          </w:tcPr>
          <w:p>
            <w:pPr>
              <w:pStyle w:val="TableContents"/>
              <w:bidi w:val="0"/>
              <w:spacing w:before="0" w:after="283"/>
              <w:jc w:val="right"/>
              <w:rPr/>
            </w:pPr>
            <w:r>
              <w:rPr/>
              <w:t>40,070</w:t>
            </w:r>
          </w:p>
        </w:tc>
        <w:tc>
          <w:tcPr>
            <w:tcW w:w="100"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sz w:val="20"/>
        </w:rPr>
      </w:pPr>
      <w:r>
        <w:rPr>
          <w:rFonts w:ascii="arial" w:hAnsi="arial"/>
          <w:b/>
          <w:sz w:val="20"/>
        </w:rPr>
        <w:t xml:space="preserve">Non-Employee Director Compensation Policy </w:t>
      </w:r>
    </w:p>
    <w:p>
      <w:pPr>
        <w:pStyle w:val="TextBody"/>
        <w:bidi w:val="0"/>
        <w:spacing w:before="120" w:after="0"/>
        <w:jc w:val="left"/>
        <w:rPr>
          <w:rFonts w:ascii="arial" w:hAnsi="arial"/>
          <w:sz w:val="18"/>
        </w:rPr>
      </w:pPr>
      <w:r>
        <w:rPr>
          <w:rFonts w:ascii="arial" w:hAnsi="arial"/>
          <w:sz w:val="18"/>
        </w:rPr>
        <w:t xml:space="preserve">In 2024, following a review of our non-employee director compensation policy with Pearl Meyer, our Compensation Committee recommended and the Board approved an increase in the annual cash retainer for the members of the Board from $40,000 to $50,000, an increase in the annual cash retainer for the Board Chairperson from $85,000 to $95,000, and an increase in the aggregate grant date fair value of the initial appointment equity awards for non-employee directors to approximately $300,000, in each case, effective as of March 2024. No other changes were made to non-employee director compensation during 2024. Following these updates, the following structure was used to compensate our non-employee directors in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0"/>
        <w:gridCol w:w="120"/>
        <w:gridCol w:w="220"/>
        <w:gridCol w:w="220"/>
        <w:gridCol w:w="2943"/>
        <w:gridCol w:w="87"/>
        <w:gridCol w:w="120"/>
        <w:gridCol w:w="184"/>
        <w:gridCol w:w="184"/>
        <w:gridCol w:w="2464"/>
        <w:gridCol w:w="233"/>
      </w:tblGrid>
      <w:tr>
        <w:trPr/>
        <w:tc>
          <w:tcPr>
            <w:tcW w:w="3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430" w:type="dxa"/>
            <w:tcBorders>
              <w:bottom w:val="single" w:sz="16" w:space="0" w:color="A41F3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347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Board or Committee Chairperson</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306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Board or Committee Member</w:t>
            </w:r>
          </w:p>
        </w:tc>
      </w:tr>
      <w:tr>
        <w:trPr/>
        <w:tc>
          <w:tcPr>
            <w:tcW w:w="3430" w:type="dxa"/>
            <w:tcBorders/>
            <w:shd w:fill="EFECE8" w:val="clear"/>
            <w:vAlign w:val="center"/>
          </w:tcPr>
          <w:p>
            <w:pPr>
              <w:pStyle w:val="TableContents"/>
              <w:bidi w:val="0"/>
              <w:spacing w:before="0" w:after="283"/>
              <w:jc w:val="left"/>
              <w:rPr>
                <w:sz w:val="4"/>
                <w:szCs w:val="4"/>
              </w:rPr>
            </w:pPr>
            <w:r>
              <w:rPr>
                <w:sz w:val="4"/>
                <w:szCs w:val="4"/>
              </w:rPr>
            </w:r>
          </w:p>
        </w:tc>
        <w:tc>
          <w:tcPr>
            <w:tcW w:w="3590" w:type="dxa"/>
            <w:gridSpan w:val="5"/>
            <w:tcBorders/>
            <w:shd w:fill="EFECE8" w:val="clear"/>
            <w:vAlign w:val="center"/>
          </w:tcPr>
          <w:p>
            <w:pPr>
              <w:pStyle w:val="TableContents"/>
              <w:bidi w:val="0"/>
              <w:spacing w:before="0" w:after="283"/>
              <w:jc w:val="left"/>
              <w:rPr>
                <w:sz w:val="4"/>
                <w:szCs w:val="4"/>
              </w:rPr>
            </w:pPr>
            <w:r>
              <w:rPr>
                <w:sz w:val="4"/>
                <w:szCs w:val="4"/>
              </w:rPr>
            </w:r>
          </w:p>
        </w:tc>
        <w:tc>
          <w:tcPr>
            <w:tcW w:w="318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3430" w:type="dxa"/>
            <w:tcBorders/>
            <w:shd w:fill="EFECE8" w:val="clear"/>
            <w:vAlign w:val="center"/>
          </w:tcPr>
          <w:p>
            <w:pPr>
              <w:pStyle w:val="TableContents"/>
              <w:bidi w:val="0"/>
              <w:spacing w:before="0" w:after="0"/>
              <w:jc w:val="left"/>
              <w:rPr>
                <w:rFonts w:ascii="arial" w:hAnsi="arial"/>
                <w:sz w:val="18"/>
              </w:rPr>
            </w:pPr>
            <w:r>
              <w:rPr>
                <w:rFonts w:ascii="arial" w:hAnsi="arial"/>
                <w:sz w:val="18"/>
              </w:rPr>
              <w:t>Annual cash retainer</w:t>
            </w:r>
          </w:p>
        </w:tc>
        <w:tc>
          <w:tcPr>
            <w:tcW w:w="1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2943" w:type="dxa"/>
            <w:tcBorders/>
            <w:shd w:fill="EFECE8" w:val="clear"/>
            <w:vAlign w:val="center"/>
          </w:tcPr>
          <w:p>
            <w:pPr>
              <w:pStyle w:val="TableContents"/>
              <w:bidi w:val="0"/>
              <w:spacing w:before="0" w:after="283"/>
              <w:jc w:val="right"/>
              <w:rPr/>
            </w:pPr>
            <w:r>
              <w:rPr/>
              <w:t>$95,000</w:t>
            </w:r>
          </w:p>
        </w:tc>
        <w:tc>
          <w:tcPr>
            <w:tcW w:w="8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84" w:type="dxa"/>
            <w:tcBorders/>
            <w:shd w:fill="EFECE8" w:val="clear"/>
            <w:vAlign w:val="center"/>
          </w:tcPr>
          <w:p>
            <w:pPr>
              <w:pStyle w:val="TableContents"/>
              <w:bidi w:val="0"/>
              <w:spacing w:before="0" w:after="283"/>
              <w:jc w:val="left"/>
              <w:rPr/>
            </w:pPr>
            <w:r>
              <w:rPr/>
              <w:t> </w:t>
            </w:r>
          </w:p>
        </w:tc>
        <w:tc>
          <w:tcPr>
            <w:tcW w:w="184" w:type="dxa"/>
            <w:tcBorders/>
            <w:shd w:fill="EFECE8" w:val="clear"/>
            <w:vAlign w:val="center"/>
          </w:tcPr>
          <w:p>
            <w:pPr>
              <w:pStyle w:val="TableContents"/>
              <w:bidi w:val="0"/>
              <w:spacing w:before="0" w:after="283"/>
              <w:jc w:val="left"/>
              <w:rPr/>
            </w:pPr>
            <w:r>
              <w:rPr/>
              <w:t> </w:t>
            </w:r>
          </w:p>
        </w:tc>
        <w:tc>
          <w:tcPr>
            <w:tcW w:w="2464" w:type="dxa"/>
            <w:tcBorders/>
            <w:shd w:fill="EFECE8" w:val="clear"/>
            <w:vAlign w:val="center"/>
          </w:tcPr>
          <w:p>
            <w:pPr>
              <w:pStyle w:val="TableContents"/>
              <w:bidi w:val="0"/>
              <w:spacing w:before="0" w:after="283"/>
              <w:jc w:val="right"/>
              <w:rPr/>
            </w:pPr>
            <w:r>
              <w:rPr/>
              <w:t>$50,000</w:t>
            </w:r>
          </w:p>
        </w:tc>
        <w:tc>
          <w:tcPr>
            <w:tcW w:w="233" w:type="dxa"/>
            <w:tcBorders/>
            <w:shd w:fill="EFECE8" w:val="clear"/>
            <w:vAlign w:val="center"/>
          </w:tcPr>
          <w:p>
            <w:pPr>
              <w:pStyle w:val="TableContents"/>
              <w:bidi w:val="0"/>
              <w:spacing w:before="0" w:after="283"/>
              <w:jc w:val="left"/>
              <w:rPr>
                <w:sz w:val="4"/>
                <w:szCs w:val="4"/>
              </w:rPr>
            </w:pPr>
            <w:r>
              <w:rPr>
                <w:sz w:val="4"/>
                <w:szCs w:val="4"/>
              </w:rPr>
            </w:r>
          </w:p>
        </w:tc>
      </w:tr>
      <w:tr>
        <w:trPr/>
        <w:tc>
          <w:tcPr>
            <w:tcW w:w="3430" w:type="dxa"/>
            <w:tcBorders/>
            <w:vAlign w:val="center"/>
          </w:tcPr>
          <w:p>
            <w:pPr>
              <w:pStyle w:val="TableContents"/>
              <w:bidi w:val="0"/>
              <w:spacing w:before="0" w:after="283"/>
              <w:jc w:val="left"/>
              <w:rPr>
                <w:sz w:val="4"/>
                <w:szCs w:val="4"/>
              </w:rPr>
            </w:pPr>
            <w:r>
              <w:rPr>
                <w:sz w:val="4"/>
                <w:szCs w:val="4"/>
              </w:rPr>
            </w:r>
          </w:p>
        </w:tc>
        <w:tc>
          <w:tcPr>
            <w:tcW w:w="3590" w:type="dxa"/>
            <w:gridSpan w:val="5"/>
            <w:tcBorders/>
            <w:vAlign w:val="center"/>
          </w:tcPr>
          <w:p>
            <w:pPr>
              <w:pStyle w:val="TableContents"/>
              <w:bidi w:val="0"/>
              <w:spacing w:before="0" w:after="283"/>
              <w:jc w:val="left"/>
              <w:rPr>
                <w:sz w:val="4"/>
                <w:szCs w:val="4"/>
              </w:rPr>
            </w:pPr>
            <w:r>
              <w:rPr>
                <w:sz w:val="4"/>
                <w:szCs w:val="4"/>
              </w:rPr>
            </w:r>
          </w:p>
        </w:tc>
        <w:tc>
          <w:tcPr>
            <w:tcW w:w="3185" w:type="dxa"/>
            <w:gridSpan w:val="5"/>
            <w:tcBorders/>
            <w:vAlign w:val="center"/>
          </w:tcPr>
          <w:p>
            <w:pPr>
              <w:pStyle w:val="TableContents"/>
              <w:bidi w:val="0"/>
              <w:spacing w:before="0" w:after="283"/>
              <w:jc w:val="left"/>
              <w:rPr>
                <w:sz w:val="4"/>
                <w:szCs w:val="4"/>
              </w:rPr>
            </w:pPr>
            <w:r>
              <w:rPr>
                <w:sz w:val="4"/>
                <w:szCs w:val="4"/>
              </w:rPr>
            </w:r>
          </w:p>
        </w:tc>
      </w:tr>
      <w:tr>
        <w:trPr/>
        <w:tc>
          <w:tcPr>
            <w:tcW w:w="3430" w:type="dxa"/>
            <w:tcBorders/>
            <w:vAlign w:val="center"/>
          </w:tcPr>
          <w:p>
            <w:pPr>
              <w:pStyle w:val="TableContents"/>
              <w:bidi w:val="0"/>
              <w:spacing w:before="0" w:after="0"/>
              <w:jc w:val="left"/>
              <w:rPr>
                <w:rFonts w:ascii="arial" w:hAnsi="arial"/>
                <w:sz w:val="18"/>
              </w:rPr>
            </w:pPr>
            <w:r>
              <w:rPr>
                <w:rFonts w:ascii="arial" w:hAnsi="arial"/>
                <w:sz w:val="18"/>
              </w:rPr>
              <w:t>Additional annual cash retainer for Audit Committee</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943" w:type="dxa"/>
            <w:tcBorders/>
            <w:vAlign w:val="center"/>
          </w:tcPr>
          <w:p>
            <w:pPr>
              <w:pStyle w:val="TableContents"/>
              <w:bidi w:val="0"/>
              <w:spacing w:before="0" w:after="283"/>
              <w:jc w:val="right"/>
              <w:rPr/>
            </w:pPr>
            <w:r>
              <w:rPr/>
              <w:t>$20,000</w:t>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464" w:type="dxa"/>
            <w:tcBorders/>
            <w:vAlign w:val="center"/>
          </w:tcPr>
          <w:p>
            <w:pPr>
              <w:pStyle w:val="TableContents"/>
              <w:bidi w:val="0"/>
              <w:spacing w:before="0" w:after="283"/>
              <w:jc w:val="right"/>
              <w:rPr/>
            </w:pPr>
            <w:r>
              <w:rPr/>
              <w:t>$10,000</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430" w:type="dxa"/>
            <w:tcBorders/>
            <w:shd w:fill="EFECE8" w:val="clear"/>
            <w:vAlign w:val="center"/>
          </w:tcPr>
          <w:p>
            <w:pPr>
              <w:pStyle w:val="TableContents"/>
              <w:bidi w:val="0"/>
              <w:spacing w:before="0" w:after="283"/>
              <w:jc w:val="left"/>
              <w:rPr>
                <w:sz w:val="4"/>
                <w:szCs w:val="4"/>
              </w:rPr>
            </w:pPr>
            <w:r>
              <w:rPr>
                <w:sz w:val="4"/>
                <w:szCs w:val="4"/>
              </w:rPr>
            </w:r>
          </w:p>
        </w:tc>
        <w:tc>
          <w:tcPr>
            <w:tcW w:w="3590" w:type="dxa"/>
            <w:gridSpan w:val="5"/>
            <w:tcBorders/>
            <w:shd w:fill="EFECE8" w:val="clear"/>
            <w:vAlign w:val="center"/>
          </w:tcPr>
          <w:p>
            <w:pPr>
              <w:pStyle w:val="TableContents"/>
              <w:bidi w:val="0"/>
              <w:spacing w:before="0" w:after="283"/>
              <w:jc w:val="left"/>
              <w:rPr>
                <w:sz w:val="4"/>
                <w:szCs w:val="4"/>
              </w:rPr>
            </w:pPr>
            <w:r>
              <w:rPr>
                <w:sz w:val="4"/>
                <w:szCs w:val="4"/>
              </w:rPr>
            </w:r>
          </w:p>
        </w:tc>
        <w:tc>
          <w:tcPr>
            <w:tcW w:w="318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3430" w:type="dxa"/>
            <w:tcBorders/>
            <w:shd w:fill="EFECE8" w:val="clear"/>
            <w:vAlign w:val="center"/>
          </w:tcPr>
          <w:p>
            <w:pPr>
              <w:pStyle w:val="TableContents"/>
              <w:bidi w:val="0"/>
              <w:spacing w:before="0" w:after="0"/>
              <w:jc w:val="left"/>
              <w:rPr>
                <w:rFonts w:ascii="arial" w:hAnsi="arial"/>
                <w:sz w:val="18"/>
              </w:rPr>
            </w:pPr>
            <w:r>
              <w:rPr>
                <w:rFonts w:ascii="arial" w:hAnsi="arial"/>
                <w:sz w:val="18"/>
              </w:rPr>
              <w:t>Additional annual cash retainer for Compensation Committee</w:t>
            </w:r>
          </w:p>
        </w:tc>
        <w:tc>
          <w:tcPr>
            <w:tcW w:w="1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2943" w:type="dxa"/>
            <w:tcBorders/>
            <w:shd w:fill="EFECE8" w:val="clear"/>
            <w:vAlign w:val="center"/>
          </w:tcPr>
          <w:p>
            <w:pPr>
              <w:pStyle w:val="TableContents"/>
              <w:bidi w:val="0"/>
              <w:spacing w:before="0" w:after="283"/>
              <w:jc w:val="right"/>
              <w:rPr/>
            </w:pPr>
            <w:r>
              <w:rPr/>
              <w:t>$15,000</w:t>
            </w:r>
          </w:p>
        </w:tc>
        <w:tc>
          <w:tcPr>
            <w:tcW w:w="8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84" w:type="dxa"/>
            <w:tcBorders/>
            <w:shd w:fill="EFECE8" w:val="clear"/>
            <w:vAlign w:val="center"/>
          </w:tcPr>
          <w:p>
            <w:pPr>
              <w:pStyle w:val="TableContents"/>
              <w:bidi w:val="0"/>
              <w:spacing w:before="0" w:after="283"/>
              <w:jc w:val="left"/>
              <w:rPr/>
            </w:pPr>
            <w:r>
              <w:rPr/>
              <w:t> </w:t>
            </w:r>
          </w:p>
        </w:tc>
        <w:tc>
          <w:tcPr>
            <w:tcW w:w="184" w:type="dxa"/>
            <w:tcBorders/>
            <w:shd w:fill="EFECE8" w:val="clear"/>
            <w:vAlign w:val="center"/>
          </w:tcPr>
          <w:p>
            <w:pPr>
              <w:pStyle w:val="TableContents"/>
              <w:bidi w:val="0"/>
              <w:spacing w:before="0" w:after="283"/>
              <w:jc w:val="left"/>
              <w:rPr/>
            </w:pPr>
            <w:r>
              <w:rPr/>
              <w:t> </w:t>
            </w:r>
          </w:p>
        </w:tc>
        <w:tc>
          <w:tcPr>
            <w:tcW w:w="2464" w:type="dxa"/>
            <w:tcBorders/>
            <w:shd w:fill="EFECE8" w:val="clear"/>
            <w:vAlign w:val="center"/>
          </w:tcPr>
          <w:p>
            <w:pPr>
              <w:pStyle w:val="TableContents"/>
              <w:bidi w:val="0"/>
              <w:spacing w:before="0" w:after="283"/>
              <w:jc w:val="right"/>
              <w:rPr/>
            </w:pPr>
            <w:r>
              <w:rPr/>
              <w:t>$ 7,500</w:t>
            </w:r>
          </w:p>
        </w:tc>
        <w:tc>
          <w:tcPr>
            <w:tcW w:w="233" w:type="dxa"/>
            <w:tcBorders/>
            <w:shd w:fill="EFECE8" w:val="clear"/>
            <w:vAlign w:val="center"/>
          </w:tcPr>
          <w:p>
            <w:pPr>
              <w:pStyle w:val="TableContents"/>
              <w:bidi w:val="0"/>
              <w:spacing w:before="0" w:after="283"/>
              <w:jc w:val="left"/>
              <w:rPr>
                <w:sz w:val="4"/>
                <w:szCs w:val="4"/>
              </w:rPr>
            </w:pPr>
            <w:r>
              <w:rPr>
                <w:sz w:val="4"/>
                <w:szCs w:val="4"/>
              </w:rPr>
            </w:r>
          </w:p>
        </w:tc>
      </w:tr>
      <w:tr>
        <w:trPr/>
        <w:tc>
          <w:tcPr>
            <w:tcW w:w="3430" w:type="dxa"/>
            <w:tcBorders/>
            <w:vAlign w:val="center"/>
          </w:tcPr>
          <w:p>
            <w:pPr>
              <w:pStyle w:val="TableContents"/>
              <w:bidi w:val="0"/>
              <w:spacing w:before="0" w:after="283"/>
              <w:jc w:val="left"/>
              <w:rPr>
                <w:sz w:val="4"/>
                <w:szCs w:val="4"/>
              </w:rPr>
            </w:pPr>
            <w:r>
              <w:rPr>
                <w:sz w:val="4"/>
                <w:szCs w:val="4"/>
              </w:rPr>
            </w:r>
          </w:p>
        </w:tc>
        <w:tc>
          <w:tcPr>
            <w:tcW w:w="3590" w:type="dxa"/>
            <w:gridSpan w:val="5"/>
            <w:tcBorders/>
            <w:vAlign w:val="center"/>
          </w:tcPr>
          <w:p>
            <w:pPr>
              <w:pStyle w:val="TableContents"/>
              <w:bidi w:val="0"/>
              <w:spacing w:before="0" w:after="283"/>
              <w:jc w:val="left"/>
              <w:rPr>
                <w:sz w:val="4"/>
                <w:szCs w:val="4"/>
              </w:rPr>
            </w:pPr>
            <w:r>
              <w:rPr>
                <w:sz w:val="4"/>
                <w:szCs w:val="4"/>
              </w:rPr>
            </w:r>
          </w:p>
        </w:tc>
        <w:tc>
          <w:tcPr>
            <w:tcW w:w="3185" w:type="dxa"/>
            <w:gridSpan w:val="5"/>
            <w:tcBorders/>
            <w:vAlign w:val="center"/>
          </w:tcPr>
          <w:p>
            <w:pPr>
              <w:pStyle w:val="TableContents"/>
              <w:bidi w:val="0"/>
              <w:spacing w:before="0" w:after="283"/>
              <w:jc w:val="left"/>
              <w:rPr>
                <w:sz w:val="4"/>
                <w:szCs w:val="4"/>
              </w:rPr>
            </w:pPr>
            <w:r>
              <w:rPr>
                <w:sz w:val="4"/>
                <w:szCs w:val="4"/>
              </w:rPr>
            </w:r>
          </w:p>
        </w:tc>
      </w:tr>
      <w:tr>
        <w:trPr/>
        <w:tc>
          <w:tcPr>
            <w:tcW w:w="3430" w:type="dxa"/>
            <w:tcBorders/>
            <w:vAlign w:val="center"/>
          </w:tcPr>
          <w:p>
            <w:pPr>
              <w:pStyle w:val="TableContents"/>
              <w:bidi w:val="0"/>
              <w:spacing w:before="0" w:after="0"/>
              <w:jc w:val="left"/>
              <w:rPr>
                <w:rFonts w:ascii="arial" w:hAnsi="arial"/>
                <w:sz w:val="18"/>
              </w:rPr>
            </w:pPr>
            <w:r>
              <w:rPr>
                <w:rFonts w:ascii="arial" w:hAnsi="arial"/>
                <w:sz w:val="18"/>
              </w:rPr>
              <w:t>Additional annual cash retainer for Nominating and Corporate Governance Committee</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943" w:type="dxa"/>
            <w:tcBorders/>
            <w:vAlign w:val="center"/>
          </w:tcPr>
          <w:p>
            <w:pPr>
              <w:pStyle w:val="TableContents"/>
              <w:bidi w:val="0"/>
              <w:spacing w:before="0" w:after="283"/>
              <w:jc w:val="right"/>
              <w:rPr/>
            </w:pPr>
            <w:r>
              <w:rPr/>
              <w:t>$10,500</w:t>
            </w:r>
          </w:p>
        </w:tc>
        <w:tc>
          <w:tcPr>
            <w:tcW w:w="8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2464" w:type="dxa"/>
            <w:tcBorders/>
            <w:vAlign w:val="center"/>
          </w:tcPr>
          <w:p>
            <w:pPr>
              <w:pStyle w:val="TableContents"/>
              <w:bidi w:val="0"/>
              <w:spacing w:before="0" w:after="283"/>
              <w:jc w:val="right"/>
              <w:rPr/>
            </w:pPr>
            <w:r>
              <w:rPr/>
              <w:t>$ 5,000</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430" w:type="dxa"/>
            <w:tcBorders/>
            <w:shd w:fill="EFECE8" w:val="clear"/>
            <w:vAlign w:val="center"/>
          </w:tcPr>
          <w:p>
            <w:pPr>
              <w:pStyle w:val="TableContents"/>
              <w:bidi w:val="0"/>
              <w:spacing w:before="0" w:after="283"/>
              <w:jc w:val="left"/>
              <w:rPr>
                <w:sz w:val="4"/>
                <w:szCs w:val="4"/>
              </w:rPr>
            </w:pPr>
            <w:r>
              <w:rPr>
                <w:sz w:val="4"/>
                <w:szCs w:val="4"/>
              </w:rPr>
            </w:r>
          </w:p>
        </w:tc>
        <w:tc>
          <w:tcPr>
            <w:tcW w:w="6775" w:type="dxa"/>
            <w:gridSpan w:val="10"/>
            <w:tcBorders/>
            <w:shd w:fill="EFECE8" w:val="clear"/>
            <w:vAlign w:val="center"/>
          </w:tcPr>
          <w:p>
            <w:pPr>
              <w:pStyle w:val="TableContents"/>
              <w:bidi w:val="0"/>
              <w:spacing w:before="0" w:after="283"/>
              <w:jc w:val="left"/>
              <w:rPr>
                <w:sz w:val="4"/>
                <w:szCs w:val="4"/>
              </w:rPr>
            </w:pPr>
            <w:r>
              <w:rPr>
                <w:sz w:val="4"/>
                <w:szCs w:val="4"/>
              </w:rPr>
            </w:r>
          </w:p>
        </w:tc>
      </w:tr>
      <w:tr>
        <w:trPr/>
        <w:tc>
          <w:tcPr>
            <w:tcW w:w="3430" w:type="dxa"/>
            <w:tcBorders/>
            <w:shd w:fill="EFECE8" w:val="clear"/>
            <w:vAlign w:val="center"/>
          </w:tcPr>
          <w:p>
            <w:pPr>
              <w:pStyle w:val="TableContents"/>
              <w:bidi w:val="0"/>
              <w:spacing w:before="0" w:after="0"/>
              <w:jc w:val="left"/>
              <w:rPr>
                <w:rFonts w:ascii="arial" w:hAnsi="arial"/>
                <w:sz w:val="18"/>
              </w:rPr>
            </w:pPr>
            <w:r>
              <w:rPr>
                <w:rFonts w:ascii="arial" w:hAnsi="arial"/>
                <w:sz w:val="18"/>
              </w:rPr>
              <w:t>Annual equity award</w:t>
            </w:r>
          </w:p>
        </w:tc>
        <w:tc>
          <w:tcPr>
            <w:tcW w:w="1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220" w:type="dxa"/>
            <w:tcBorders/>
            <w:shd w:fill="EFECE8" w:val="clear"/>
            <w:vAlign w:val="center"/>
          </w:tcPr>
          <w:p>
            <w:pPr>
              <w:pStyle w:val="TableContents"/>
              <w:bidi w:val="0"/>
              <w:spacing w:before="0" w:after="283"/>
              <w:jc w:val="left"/>
              <w:rPr/>
            </w:pPr>
            <w:r>
              <w:rPr/>
              <w:t> </w:t>
            </w:r>
          </w:p>
        </w:tc>
        <w:tc>
          <w:tcPr>
            <w:tcW w:w="5982" w:type="dxa"/>
            <w:gridSpan w:val="6"/>
            <w:tcBorders/>
            <w:shd w:fill="EFECE8" w:val="clear"/>
            <w:vAlign w:val="center"/>
          </w:tcPr>
          <w:p>
            <w:pPr>
              <w:pStyle w:val="TableContents"/>
              <w:bidi w:val="0"/>
              <w:spacing w:before="0" w:after="283"/>
              <w:jc w:val="left"/>
              <w:rPr/>
            </w:pPr>
            <w:r>
              <w:rPr/>
              <w:t>Stock options and RSUs, each with an</w:t>
              <w:br/>
              <w:t>aggregate grant date fair value of</w:t>
              <w:br/>
              <w:t>approximately $90,000</w:t>
            </w:r>
          </w:p>
        </w:tc>
        <w:tc>
          <w:tcPr>
            <w:tcW w:w="233" w:type="dxa"/>
            <w:tcBorders/>
            <w:shd w:fill="EFECE8" w:val="clear"/>
            <w:vAlign w:val="center"/>
          </w:tcPr>
          <w:p>
            <w:pPr>
              <w:pStyle w:val="TableContents"/>
              <w:bidi w:val="0"/>
              <w:spacing w:before="0" w:after="283"/>
              <w:jc w:val="left"/>
              <w:rPr/>
            </w:pPr>
            <w:r>
              <w:rPr/>
              <w:t> </w:t>
            </w:r>
            <w:r>
              <w:rPr/>
              <w:br/>
              <w:t> </w:t>
              <w:br/>
              <w:t> </w:t>
            </w:r>
          </w:p>
        </w:tc>
      </w:tr>
      <w:tr>
        <w:trPr/>
        <w:tc>
          <w:tcPr>
            <w:tcW w:w="3430" w:type="dxa"/>
            <w:tcBorders/>
            <w:vAlign w:val="center"/>
          </w:tcPr>
          <w:p>
            <w:pPr>
              <w:pStyle w:val="TableContents"/>
              <w:bidi w:val="0"/>
              <w:spacing w:before="0" w:after="283"/>
              <w:jc w:val="left"/>
              <w:rPr>
                <w:sz w:val="4"/>
                <w:szCs w:val="4"/>
              </w:rPr>
            </w:pPr>
            <w:r>
              <w:rPr>
                <w:sz w:val="4"/>
                <w:szCs w:val="4"/>
              </w:rPr>
            </w:r>
          </w:p>
        </w:tc>
        <w:tc>
          <w:tcPr>
            <w:tcW w:w="6775" w:type="dxa"/>
            <w:gridSpan w:val="10"/>
            <w:tcBorders/>
            <w:vAlign w:val="center"/>
          </w:tcPr>
          <w:p>
            <w:pPr>
              <w:pStyle w:val="TableContents"/>
              <w:bidi w:val="0"/>
              <w:spacing w:before="0" w:after="283"/>
              <w:jc w:val="left"/>
              <w:rPr>
                <w:sz w:val="4"/>
                <w:szCs w:val="4"/>
              </w:rPr>
            </w:pPr>
            <w:r>
              <w:rPr>
                <w:sz w:val="4"/>
                <w:szCs w:val="4"/>
              </w:rPr>
            </w:r>
          </w:p>
        </w:tc>
      </w:tr>
      <w:tr>
        <w:trPr/>
        <w:tc>
          <w:tcPr>
            <w:tcW w:w="3430"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Initial appointment equity award</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20" w:type="dxa"/>
            <w:tcBorders>
              <w:bottom w:val="single" w:sz="8" w:space="0" w:color="A41F35"/>
            </w:tcBorders>
            <w:tcMar>
              <w:bottom w:w="28" w:type="dxa"/>
            </w:tcMar>
            <w:vAlign w:val="center"/>
          </w:tcPr>
          <w:p>
            <w:pPr>
              <w:pStyle w:val="TableContents"/>
              <w:bidi w:val="0"/>
              <w:spacing w:before="0" w:after="283"/>
              <w:jc w:val="left"/>
              <w:rPr/>
            </w:pPr>
            <w:r>
              <w:rPr/>
              <w:t> </w:t>
            </w:r>
          </w:p>
        </w:tc>
        <w:tc>
          <w:tcPr>
            <w:tcW w:w="220" w:type="dxa"/>
            <w:tcBorders>
              <w:bottom w:val="single" w:sz="8" w:space="0" w:color="A41F35"/>
            </w:tcBorders>
            <w:tcMar>
              <w:bottom w:w="40" w:type="dxa"/>
            </w:tcMar>
            <w:vAlign w:val="center"/>
          </w:tcPr>
          <w:p>
            <w:pPr>
              <w:pStyle w:val="TableContents"/>
              <w:bidi w:val="0"/>
              <w:spacing w:before="0" w:after="283"/>
              <w:jc w:val="left"/>
              <w:rPr/>
            </w:pPr>
            <w:r>
              <w:rPr/>
              <w:t> </w:t>
            </w:r>
          </w:p>
        </w:tc>
        <w:tc>
          <w:tcPr>
            <w:tcW w:w="5982" w:type="dxa"/>
            <w:gridSpan w:val="6"/>
            <w:tcBorders>
              <w:bottom w:val="single" w:sz="8" w:space="0" w:color="A41F35"/>
            </w:tcBorders>
            <w:tcMar>
              <w:bottom w:w="40" w:type="dxa"/>
            </w:tcMar>
            <w:vAlign w:val="center"/>
          </w:tcPr>
          <w:p>
            <w:pPr>
              <w:pStyle w:val="TableContents"/>
              <w:bidi w:val="0"/>
              <w:spacing w:before="0" w:after="283"/>
              <w:jc w:val="left"/>
              <w:rPr/>
            </w:pPr>
            <w:r>
              <w:rPr/>
              <w:t>Stock options and RSUs, each with an</w:t>
              <w:br/>
              <w:t>aggregate grant date fair value of</w:t>
              <w:br/>
              <w:t>approximately $150,000</w:t>
            </w:r>
          </w:p>
        </w:tc>
        <w:tc>
          <w:tcPr>
            <w:tcW w:w="233" w:type="dxa"/>
            <w:tcBorders>
              <w:bottom w:val="single" w:sz="8" w:space="0" w:color="A41F35"/>
            </w:tcBorders>
            <w:tcMar>
              <w:bottom w:w="40" w:type="dxa"/>
            </w:tcMar>
            <w:vAlign w:val="center"/>
          </w:tcPr>
          <w:p>
            <w:pPr>
              <w:pStyle w:val="TableContents"/>
              <w:bidi w:val="0"/>
              <w:spacing w:before="0" w:after="283"/>
              <w:jc w:val="left"/>
              <w:rPr/>
            </w:pPr>
            <w:r>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1 Election of Directors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Cash retainers are payable in arrears in four equal quarterly installments, provided that the amount of such payment is prorated for any portion of such quarter that the director was not serving on the Board or the relevant committee thereof. The committee chair cash retainers are provided in lieu of committee member cash retainers. The number of shares subject to each stock option and RSU award is determined by dividing the target award values by the average closing price of our common stock over a 30-day period preceding the grant date (and, for options, a Black-Scholes ratio). Annual grants of RSUs and stock options vest in full on the first anniversary of the grant date, and initial appointment RSUs and stock options vest as to one-third (1/3) on the first anniversary of the grant date with the remaining portion vesting monthly over the following 24 months. Each such grant of RSUs and stock options vests in full upon the director’s death or disability or a change in control and, in each case, vesting is generally subject to the non-employee director’s continued service through the applicable vesting date. Each non-employee director was granted 732 RSUs and an option to purchase 1,154 shares of our common stock on May 23, 2024.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16</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56"/>
        </w:rPr>
      </w:pPr>
      <w:bookmarkStart w:id="15" w:name="toc803709_13"/>
      <w:bookmarkEnd w:id="15"/>
      <w:r>
        <w:rPr>
          <w:rFonts w:ascii="arial" w:hAnsi="arial"/>
          <w:b/>
          <w:color w:val="A41F35"/>
          <w:sz w:val="56"/>
        </w:rPr>
        <w:t xml:space="preserve">Proposal 2 </w:t>
      </w:r>
      <w:r>
        <w:rPr>
          <w:rFonts w:ascii="arial" w:hAnsi="arial"/>
          <w:sz w:val="56"/>
        </w:rPr>
        <w:t>Advisory Vote on Executive Compensation</w:t>
      </w:r>
      <w:r>
        <w:rPr>
          <w:rFonts w:ascii="arial" w:hAnsi="arial"/>
          <w:color w:val="A41F35"/>
          <w:sz w:val="56"/>
        </w:rPr>
        <w:t xml:space="preserve"> </w:t>
      </w:r>
    </w:p>
    <w:p>
      <w:pPr>
        <w:pStyle w:val="TextBody"/>
        <w:bidi w:val="0"/>
        <w:spacing w:before="480" w:after="0"/>
        <w:jc w:val="left"/>
        <w:rPr>
          <w:rFonts w:ascii="arial" w:hAnsi="arial"/>
          <w:sz w:val="18"/>
        </w:rPr>
      </w:pPr>
      <w:r>
        <w:rPr>
          <w:rFonts w:ascii="arial" w:hAnsi="arial"/>
          <w:sz w:val="18"/>
        </w:rPr>
        <w:t xml:space="preserve">We are seeking your vote, on a non-binding advisory basis, to approve the compensation of our named executive officers as described in the Compensation Discussion and Analysis, the compensation tables and related narrative disclosure contained in this Proxy Statement, which is commonly referred to as a “say on pay” vote. Because your “say on pay” vote is advisory, it will not be binding on the Compensation Committee or the Board. However, the Compensation Committee and the Board will review the “say on pay” voting results and take them into consideration when making future decisions regarding executive compensation. </w:t>
      </w:r>
    </w:p>
    <w:p>
      <w:pPr>
        <w:pStyle w:val="TextBody"/>
        <w:bidi w:val="0"/>
        <w:spacing w:before="160" w:after="0"/>
        <w:jc w:val="left"/>
        <w:rPr>
          <w:rFonts w:ascii="arial" w:hAnsi="arial"/>
          <w:sz w:val="18"/>
        </w:rPr>
      </w:pPr>
      <w:r>
        <w:rPr>
          <w:rFonts w:ascii="arial" w:hAnsi="arial"/>
          <w:sz w:val="18"/>
        </w:rPr>
        <w:t xml:space="preserve">The philosophy and principal objectives of our executive compensation programs are to attract, fairly compensate, appropriately incentivize, and retain superior executive talent in a manner that aligns their long-term interests with those of our shareholders. Our executive compensation program is designed to be: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Competitively Positioned</w:t>
            </w:r>
            <w:r>
              <w:rPr>
                <w:rFonts w:ascii="arial" w:hAnsi="arial"/>
                <w:sz w:val="18"/>
              </w:rPr>
              <w:t xml:space="preserve">: Target compensation should be competitive with that being offered to individuals in comparable roles at other companies with which we compete for talent to ensure that we attract and retain the best people to lead our success. Our Compensation Committee generally targets the median of the market for target compensation opportunities but can set compensation for executives above or below that level based on factors such as individual and Company performance, an executive’s role and responsibilities relative to executives in similar positions in the market, and an executive’s actual and potential impact on the successful execution of our strategy,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Performance-Driven and Shareholder-Aligned</w:t>
            </w:r>
            <w:r>
              <w:rPr>
                <w:rFonts w:ascii="arial" w:hAnsi="arial"/>
                <w:sz w:val="18"/>
              </w:rPr>
              <w:t xml:space="preserve">: A meaningful portion of total compensation should be variable and linked to the achievement of specific short- and long-term performance objectives and designed to drive shareholder value creation.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Responsibly Governed</w:t>
            </w:r>
            <w:r>
              <w:rPr>
                <w:rFonts w:ascii="arial" w:hAnsi="arial"/>
                <w:sz w:val="18"/>
              </w:rPr>
              <w:t xml:space="preserve">: Decisions about compensation should be guided by best-practice governance standards and rigorous processes that encourage prudent decision-making. </w:t>
            </w:r>
          </w:p>
        </w:tc>
      </w:tr>
    </w:tbl>
    <w:p>
      <w:pPr>
        <w:pStyle w:val="TextBody"/>
        <w:bidi w:val="0"/>
        <w:spacing w:before="160" w:after="0"/>
        <w:jc w:val="left"/>
        <w:rPr>
          <w:rFonts w:ascii="arial" w:hAnsi="arial"/>
          <w:sz w:val="18"/>
        </w:rPr>
      </w:pPr>
      <w:r>
        <w:rPr>
          <w:rFonts w:ascii="arial" w:hAnsi="arial"/>
          <w:sz w:val="18"/>
        </w:rPr>
        <w:t xml:space="preserve">Consistent with this philosophy, a significant portion of the total compensation opportunity for each of our executives is based on our performance. </w:t>
      </w:r>
    </w:p>
    <w:p>
      <w:pPr>
        <w:pStyle w:val="TextBody"/>
        <w:bidi w:val="0"/>
        <w:spacing w:before="160" w:after="0"/>
        <w:jc w:val="left"/>
        <w:rPr>
          <w:rFonts w:ascii="arial" w:hAnsi="arial"/>
          <w:sz w:val="18"/>
        </w:rPr>
      </w:pPr>
      <w:r>
        <w:rPr>
          <w:rFonts w:ascii="arial" w:hAnsi="arial"/>
          <w:sz w:val="18"/>
        </w:rPr>
        <w:t xml:space="preserve">Shareholders are urged to read the Compensation Discussion and Analysis section of this Proxy Statement, which discusses how our compensation program implements our compensation philosophy. The Compensation Committee and the Board believe that these policies and procedures are effective in implementing our compensation philosophy and in achieving the goals of our executive compensation program. </w:t>
      </w:r>
    </w:p>
    <w:p>
      <w:pPr>
        <w:pStyle w:val="TextBody"/>
        <w:bidi w:val="0"/>
        <w:spacing w:before="360" w:after="0"/>
        <w:jc w:val="left"/>
        <w:rPr>
          <w:rFonts w:ascii="arial" w:hAnsi="arial"/>
          <w:b/>
          <w:color w:val="A41F35"/>
          <w:sz w:val="28"/>
        </w:rPr>
      </w:pPr>
      <w:r>
        <w:rPr>
          <w:rFonts w:ascii="arial" w:hAnsi="arial"/>
          <w:b/>
          <w:color w:val="A41F35"/>
          <w:sz w:val="28"/>
        </w:rPr>
        <w:t xml:space="preserve">Required Vote of Shareholders </w:t>
      </w:r>
    </w:p>
    <w:p>
      <w:pPr>
        <w:pStyle w:val="TextBody"/>
        <w:bidi w:val="0"/>
        <w:spacing w:before="120" w:after="0"/>
        <w:jc w:val="left"/>
        <w:rPr>
          <w:rFonts w:ascii="arial" w:hAnsi="arial"/>
          <w:sz w:val="18"/>
        </w:rPr>
      </w:pPr>
      <w:r>
        <w:rPr>
          <w:rFonts w:ascii="arial" w:hAnsi="arial"/>
          <w:sz w:val="18"/>
        </w:rPr>
        <w:t xml:space="preserve">Although the “say on pay” vote we are asking you to cast is non-binding, the Board and Compensation Committee value the views of our shareholders and will consider the outcome of the vote when making future decisions regarding executive compensation. The affirmative vote of a majority of the votes cast by holders of shares of common stock who are present by remote communication or by proxy at a meeting at which a quorum is present is required (on a non-binding advisory basis) to approve the compensation of our named executive officers. We expect to hold an advisory “say on pay” vote to approve the compensation of our named executive officers annually until the next advisory vote on the frequency of such advisory votes, which will occur no later than our 2028 Annual Meeting of Shareholders. </w:t>
      </w:r>
    </w:p>
    <w:p>
      <w:pPr>
        <w:pStyle w:val="TextBody"/>
        <w:bidi w:val="0"/>
        <w:spacing w:before="0" w:after="0"/>
        <w:jc w:val="left"/>
        <w:rPr/>
      </w:pPr>
      <w:r>
        <w:rPr/>
        <w:t> </w:t>
      </w:r>
    </w:p>
    <w:p>
      <w:pPr>
        <w:pStyle w:val="TextBody"/>
        <w:pBdr/>
        <w:bidi w:val="0"/>
        <w:spacing w:before="0" w:after="200"/>
        <w:jc w:val="center"/>
        <w:rPr>
          <w:rFonts w:ascii="arial" w:hAnsi="arial"/>
          <w:b/>
          <w:sz w:val="18"/>
          <w:shd w:fill="EFECE8" w:val="clear"/>
        </w:rPr>
      </w:pPr>
      <w:r>
        <w:rPr>
          <w:rFonts w:ascii="arial" w:hAnsi="arial"/>
          <w:b/>
          <w:sz w:val="18"/>
          <w:shd w:fill="EFECE8" w:val="clear"/>
        </w:rPr>
        <w:t xml:space="preserve">Our Board recommends that you vote FOR the proposal to approve, on a non-binding advisory basis, the compensation of our named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16" w:name="toc803709_14"/>
      <w:bookmarkEnd w:id="16"/>
      <w:r>
        <w:rPr>
          <w:rFonts w:ascii="arial" w:hAnsi="arial"/>
          <w:b/>
          <w:color w:val="A41F35"/>
          <w:sz w:val="56"/>
        </w:rPr>
        <w:t xml:space="preserve">Security Ownership of Certain Beneficial Owners and Management </w:t>
      </w:r>
    </w:p>
    <w:p>
      <w:pPr>
        <w:pStyle w:val="TextBody"/>
        <w:bidi w:val="0"/>
        <w:spacing w:before="480" w:after="0"/>
        <w:jc w:val="left"/>
        <w:rPr>
          <w:rFonts w:ascii="arial" w:hAnsi="arial"/>
          <w:sz w:val="18"/>
        </w:rPr>
      </w:pPr>
      <w:r>
        <w:rPr>
          <w:rFonts w:ascii="arial" w:hAnsi="arial"/>
          <w:sz w:val="18"/>
        </w:rPr>
        <w:t xml:space="preserve">The following table and accompanying footnotes set forth information with respect to the beneficial ownership of our common stock by: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125"/>
        <w:gridCol w:w="60"/>
        <w:gridCol w:w="66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arial" w:hAnsi="arial"/>
                <w:sz w:val="18"/>
              </w:rPr>
            </w:pPr>
            <w:r>
              <w:rPr>
                <w:rFonts w:ascii="arial" w:hAnsi="arial"/>
                <w:sz w:val="18"/>
              </w:rPr>
              <w:t xml:space="preserve">each person known by us to beneficially own more than 5% of our common stock;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25"/>
        <w:gridCol w:w="60"/>
        <w:gridCol w:w="311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arial" w:hAnsi="arial"/>
                <w:sz w:val="18"/>
              </w:rPr>
            </w:pPr>
            <w:r>
              <w:rPr>
                <w:rFonts w:ascii="arial" w:hAnsi="arial"/>
                <w:sz w:val="18"/>
              </w:rPr>
              <w:t xml:space="preserve">each of our named executive officers;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125"/>
        <w:gridCol w:w="60"/>
        <w:gridCol w:w="488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left"/>
              <w:rPr>
                <w:rFonts w:ascii="arial" w:hAnsi="arial"/>
                <w:sz w:val="18"/>
              </w:rPr>
            </w:pPr>
            <w:r>
              <w:rPr>
                <w:rFonts w:ascii="arial" w:hAnsi="arial"/>
                <w:sz w:val="18"/>
              </w:rPr>
              <w:t xml:space="preserve">each of our directors (including the director nominees);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all of our directors and executive officers as a group, based upon 33,827,880 shares of common stock outstanding as of March 31, 2025. </w:t>
            </w:r>
          </w:p>
        </w:tc>
      </w:tr>
    </w:tbl>
    <w:p>
      <w:pPr>
        <w:pStyle w:val="TextBody"/>
        <w:bidi w:val="0"/>
        <w:spacing w:before="160" w:after="0"/>
        <w:jc w:val="left"/>
        <w:rPr>
          <w:rFonts w:ascii="arial" w:hAnsi="arial"/>
          <w:sz w:val="18"/>
        </w:rPr>
      </w:pPr>
      <w:r>
        <w:rPr>
          <w:rFonts w:ascii="arial" w:hAnsi="arial"/>
          <w:sz w:val="18"/>
        </w:rPr>
        <w:t xml:space="preserve">Beneficial ownership is determined under the SEC rules and regulations and generally includes voting or investment power over securities. Except in cases where community property laws apply or as indicated in the footnotes to this table, we believe each shareholder identified in the table possesses sole voting and investment power over all shares of equity securities shown as beneficially owned by the shareholder. </w:t>
      </w:r>
    </w:p>
    <w:p>
      <w:pPr>
        <w:pStyle w:val="TextBody"/>
        <w:bidi w:val="0"/>
        <w:spacing w:before="160" w:after="0"/>
        <w:jc w:val="left"/>
        <w:rPr>
          <w:rFonts w:ascii="arial" w:hAnsi="arial"/>
          <w:sz w:val="18"/>
        </w:rPr>
      </w:pPr>
      <w:r>
        <w:rPr>
          <w:rFonts w:ascii="arial" w:hAnsi="arial"/>
          <w:sz w:val="18"/>
        </w:rPr>
        <w:t xml:space="preserve">Shares of common stock subject to options that are currently exercisable or exercisable within 60 days of March 31, 2025 and shares of common stock underlying unvested RSUs that vest within 60 days of March 31, 2025 are considered outstanding and beneficially owned by the person holding the options or unvested RSUs for the purposes of computing the percentage ownership of that person but are not treated as outstanding for the purpose of computing the percentage ownership of any other person. Except as otherwise indicated, the address of each beneficial owner listed below is c/o TransMedics Group, Inc. 200 Minuteman Road, Suite 302, Andover, MA 01810. </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5225"/>
        <w:gridCol w:w="120"/>
        <w:gridCol w:w="61"/>
        <w:gridCol w:w="61"/>
        <w:gridCol w:w="1005"/>
        <w:gridCol w:w="63"/>
        <w:gridCol w:w="120"/>
        <w:gridCol w:w="133"/>
        <w:gridCol w:w="133"/>
        <w:gridCol w:w="980"/>
        <w:gridCol w:w="169"/>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 of Beneficial Owner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w:t>
              <w:br/>
              <w:t>Shares</w:t>
              <w:br/>
              <w:t>Beneficially</w:t>
              <w:br/>
              <w:t>Owned</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1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Percentage of</w:t>
              <w:br/>
              <w:t>Shares</w:t>
              <w:br/>
              <w:t>Beneficially</w:t>
              <w:br/>
              <w:t>Owned</w:t>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b/>
                <w:sz w:val="16"/>
              </w:rPr>
            </w:pPr>
            <w:r>
              <w:rPr>
                <w:rFonts w:ascii="arial" w:hAnsi="arial"/>
                <w:b/>
                <w:sz w:val="16"/>
              </w:rPr>
              <w:t>5% or greater shareholders:</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0"/>
              <w:jc w:val="left"/>
              <w:rPr/>
            </w:pPr>
            <w:r>
              <w:rPr/>
              <w:t> </w:t>
            </w:r>
          </w:p>
        </w:tc>
        <w:tc>
          <w:tcPr>
            <w:tcW w:w="1005" w:type="dxa"/>
            <w:tcBorders/>
            <w:shd w:fill="EFECE8" w:val="clear"/>
            <w:vAlign w:val="center"/>
          </w:tcPr>
          <w:p>
            <w:pPr>
              <w:pStyle w:val="TableContents"/>
              <w:bidi w:val="0"/>
              <w:spacing w:before="0" w:after="0"/>
              <w:jc w:val="left"/>
              <w:rPr/>
            </w:pPr>
            <w:r>
              <w:rPr/>
              <w:t> </w:t>
            </w:r>
          </w:p>
        </w:tc>
        <w:tc>
          <w:tcPr>
            <w:tcW w:w="63"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0"/>
              <w:jc w:val="left"/>
              <w:rPr/>
            </w:pPr>
            <w:r>
              <w:rPr/>
              <w:t> </w:t>
            </w:r>
          </w:p>
        </w:tc>
        <w:tc>
          <w:tcPr>
            <w:tcW w:w="980" w:type="dxa"/>
            <w:tcBorders/>
            <w:shd w:fill="EFECE8" w:val="clear"/>
            <w:vAlign w:val="center"/>
          </w:tcPr>
          <w:p>
            <w:pPr>
              <w:pStyle w:val="TableContents"/>
              <w:bidi w:val="0"/>
              <w:spacing w:before="0" w:after="0"/>
              <w:jc w:val="left"/>
              <w:rPr/>
            </w:pPr>
            <w:r>
              <w:rPr/>
              <w:t> </w:t>
            </w:r>
          </w:p>
        </w:tc>
        <w:tc>
          <w:tcPr>
            <w:tcW w:w="169" w:type="dxa"/>
            <w:tcBorders/>
            <w:shd w:fill="EFECE8" w:val="clear"/>
            <w:vAlign w:val="center"/>
          </w:tcPr>
          <w:p>
            <w:pPr>
              <w:pStyle w:val="TableContents"/>
              <w:bidi w:val="0"/>
              <w:spacing w:before="0" w:after="0"/>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BlackRock, Inc.(1)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5,307,759</w:t>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15.7%</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FMR LLC(2)</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4,363,160</w:t>
            </w:r>
          </w:p>
        </w:tc>
        <w:tc>
          <w:tcPr>
            <w:tcW w:w="6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12.9%</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The Vanguard Group(3)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3,595,059</w:t>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10.6%</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b/>
                <w:sz w:val="16"/>
              </w:rPr>
            </w:pPr>
            <w:r>
              <w:rPr>
                <w:rFonts w:ascii="arial" w:hAnsi="arial"/>
                <w:b/>
                <w:sz w:val="16"/>
              </w:rPr>
              <w:t>Directors and Named Executive Officers:</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0"/>
              <w:jc w:val="left"/>
              <w:rPr/>
            </w:pPr>
            <w:r>
              <w:rPr/>
              <w:t> </w:t>
            </w:r>
          </w:p>
        </w:tc>
        <w:tc>
          <w:tcPr>
            <w:tcW w:w="1005" w:type="dxa"/>
            <w:tcBorders/>
            <w:shd w:fill="EFECE8" w:val="clear"/>
            <w:vAlign w:val="center"/>
          </w:tcPr>
          <w:p>
            <w:pPr>
              <w:pStyle w:val="TableContents"/>
              <w:bidi w:val="0"/>
              <w:spacing w:before="0" w:after="0"/>
              <w:jc w:val="left"/>
              <w:rPr/>
            </w:pPr>
            <w:r>
              <w:rPr/>
              <w:t> </w:t>
            </w:r>
          </w:p>
        </w:tc>
        <w:tc>
          <w:tcPr>
            <w:tcW w:w="63"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0"/>
              <w:jc w:val="left"/>
              <w:rPr/>
            </w:pPr>
            <w:r>
              <w:rPr/>
              <w:t> </w:t>
            </w:r>
          </w:p>
        </w:tc>
        <w:tc>
          <w:tcPr>
            <w:tcW w:w="980" w:type="dxa"/>
            <w:tcBorders/>
            <w:shd w:fill="EFECE8" w:val="clear"/>
            <w:vAlign w:val="center"/>
          </w:tcPr>
          <w:p>
            <w:pPr>
              <w:pStyle w:val="TableContents"/>
              <w:bidi w:val="0"/>
              <w:spacing w:before="0" w:after="0"/>
              <w:jc w:val="left"/>
              <w:rPr/>
            </w:pPr>
            <w:r>
              <w:rPr/>
              <w:t> </w:t>
            </w:r>
          </w:p>
        </w:tc>
        <w:tc>
          <w:tcPr>
            <w:tcW w:w="169" w:type="dxa"/>
            <w:tcBorders/>
            <w:shd w:fill="EFECE8" w:val="clear"/>
            <w:vAlign w:val="center"/>
          </w:tcPr>
          <w:p>
            <w:pPr>
              <w:pStyle w:val="TableContents"/>
              <w:bidi w:val="0"/>
              <w:spacing w:before="0" w:after="0"/>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Waleed H. Hassanein, M.D.(4)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1,315,191</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3.8%</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James R. Tobin(5)</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221,075</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Edward M. Basile(6)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52,521</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Thomas Gunderson(7)</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67,214</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Edwin M. Kania, Jr.(8)</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334,888</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1.0%</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Stephanie Lovell(9)</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28,188</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Merilee Raines(10)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38,745</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David Weill, M.D.(11)</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50,802</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Stephen Gordon(12)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40,446</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Gerardo Hernandez(13)</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331</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Tamer Khayal, M.D.(14)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28,078</w:t>
            </w:r>
          </w:p>
        </w:tc>
        <w:tc>
          <w:tcPr>
            <w:tcW w:w="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0"/>
              <w:jc w:val="left"/>
              <w:rPr>
                <w:rFonts w:ascii="arial" w:hAnsi="arial"/>
                <w:sz w:val="16"/>
              </w:rPr>
            </w:pPr>
            <w:r>
              <w:rPr>
                <w:rFonts w:ascii="arial" w:hAnsi="arial"/>
                <w:sz w:val="16"/>
              </w:rPr>
              <w:t>Nicholas Corcoran(15)</w:t>
            </w:r>
          </w:p>
        </w:tc>
        <w:tc>
          <w:tcPr>
            <w:tcW w:w="120"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61" w:type="dxa"/>
            <w:tcBorders/>
            <w:shd w:fill="EFECE8" w:val="clear"/>
            <w:vAlign w:val="center"/>
          </w:tcPr>
          <w:p>
            <w:pPr>
              <w:pStyle w:val="TableContents"/>
              <w:bidi w:val="0"/>
              <w:spacing w:before="0" w:after="283"/>
              <w:jc w:val="left"/>
              <w:rPr/>
            </w:pPr>
            <w:r>
              <w:rPr/>
              <w:t> </w:t>
            </w:r>
          </w:p>
        </w:tc>
        <w:tc>
          <w:tcPr>
            <w:tcW w:w="1005" w:type="dxa"/>
            <w:tcBorders/>
            <w:shd w:fill="EFECE8" w:val="clear"/>
            <w:vAlign w:val="center"/>
          </w:tcPr>
          <w:p>
            <w:pPr>
              <w:pStyle w:val="TableContents"/>
              <w:bidi w:val="0"/>
              <w:spacing w:before="0" w:after="283"/>
              <w:jc w:val="right"/>
              <w:rPr/>
            </w:pPr>
            <w:r>
              <w:rPr/>
              <w:t>15,248</w:t>
            </w:r>
          </w:p>
        </w:tc>
        <w:tc>
          <w:tcPr>
            <w:tcW w:w="63"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133"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left"/>
              <w:rPr/>
            </w:pPr>
            <w:r>
              <w:rPr/>
              <w:t>*</w:t>
            </w:r>
          </w:p>
        </w:tc>
        <w:tc>
          <w:tcPr>
            <w:tcW w:w="169" w:type="dxa"/>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arial" w:hAnsi="arial"/>
                <w:sz w:val="16"/>
              </w:rPr>
            </w:pPr>
            <w:r>
              <w:rPr>
                <w:rFonts w:ascii="arial" w:hAnsi="arial"/>
                <w:sz w:val="16"/>
              </w:rPr>
              <w:t>Anil Ranganath(16)</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right"/>
              <w:rPr/>
            </w:pPr>
            <w:r>
              <w:rPr/>
              <w:t>5,160</w:t>
            </w:r>
          </w:p>
        </w:tc>
        <w:tc>
          <w:tcPr>
            <w:tcW w:w="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c>
          <w:tcPr>
            <w:tcW w:w="153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522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6"/>
              </w:rPr>
            </w:pPr>
            <w:r>
              <w:rPr>
                <w:rFonts w:ascii="arial" w:hAnsi="arial"/>
                <w:sz w:val="16"/>
              </w:rPr>
              <w:t>All current executive officers and directors as a group (12 persons)(17)</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1"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1"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005" w:type="dxa"/>
            <w:tcBorders>
              <w:bottom w:val="single" w:sz="8" w:space="0" w:color="A41F35"/>
            </w:tcBorders>
            <w:shd w:fill="EFECE8" w:val="clear"/>
            <w:tcMar>
              <w:bottom w:w="40" w:type="dxa"/>
            </w:tcMar>
            <w:vAlign w:val="center"/>
          </w:tcPr>
          <w:p>
            <w:pPr>
              <w:pStyle w:val="TableContents"/>
              <w:bidi w:val="0"/>
              <w:spacing w:before="0" w:after="283"/>
              <w:jc w:val="right"/>
              <w:rPr/>
            </w:pPr>
            <w:r>
              <w:rPr/>
              <w:t>2,157,441</w:t>
            </w:r>
          </w:p>
        </w:tc>
        <w:tc>
          <w:tcPr>
            <w:tcW w:w="63"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33"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33"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shd w:fill="EFECE8" w:val="clear"/>
            <w:tcMar>
              <w:bottom w:w="40" w:type="dxa"/>
            </w:tcMar>
            <w:vAlign w:val="center"/>
          </w:tcPr>
          <w:p>
            <w:pPr>
              <w:pStyle w:val="TableContents"/>
              <w:bidi w:val="0"/>
              <w:spacing w:before="0" w:after="283"/>
              <w:jc w:val="left"/>
              <w:rPr/>
            </w:pPr>
            <w:r>
              <w:rPr/>
              <w:t>6.2%</w:t>
            </w:r>
          </w:p>
        </w:tc>
        <w:tc>
          <w:tcPr>
            <w:tcW w:w="169"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18</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Security Ownership of Certain Beneficial Owners and Management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155"/>
        <w:gridCol w:w="1760"/>
      </w:tblGrid>
      <w:tr>
        <w:trPr/>
        <w:tc>
          <w:tcPr>
            <w:tcW w:w="155"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0"/>
              <w:jc w:val="left"/>
              <w:rPr>
                <w:rFonts w:ascii="arial" w:hAnsi="arial"/>
                <w:sz w:val="16"/>
              </w:rPr>
            </w:pPr>
            <w:r>
              <w:rPr>
                <w:rFonts w:ascii="arial" w:hAnsi="arial"/>
                <w:sz w:val="16"/>
              </w:rPr>
              <w:t xml:space="preserve">Less than one percent.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Based on information filed with the SEC in a Schedule 13G/A on October 7, 2024. BlackRock, Inc. has sole voting power with respect to 5,288,143 shares and sole dispositive power with respect to 5,307,759 shares. BlackRock, Inc.’s address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Based on information filed with the SEC in a Schedule 13G/A on December 5, 2024. FMR LLC has sole voting power with respect to 4,351,567 shares and sole dispositive power with respect to 4,363,160 shares. FMR LLC’s address is 245 Summer Street, Boston, MA 02210.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Based on information filed with the SEC in a Schedule 13G on October 4, 2024. The Vanguard Group has shared voting power with respect to 59,000 shares, sole dispositive power with respect to 3,498,374 shares and shared dispositive power with respect to 96,685 shares. The Vanguard Group’s principal business address is 100 Vanguard Blvd., Malvern, PA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Consists of (i) 481,611 shares held and (ii) 833,580 shares of common stock underlying outstanding stock options exercisable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(5)</w:t>
            </w:r>
          </w:p>
        </w:tc>
        <w:tc>
          <w:tcPr>
            <w:tcW w:w="9946" w:type="dxa"/>
            <w:tcBorders/>
            <w:vAlign w:val="center"/>
          </w:tcPr>
          <w:p>
            <w:pPr>
              <w:pStyle w:val="TableContents"/>
              <w:bidi w:val="0"/>
              <w:spacing w:before="0" w:after="0"/>
              <w:jc w:val="left"/>
              <w:rPr>
                <w:rFonts w:ascii="arial" w:hAnsi="arial"/>
                <w:sz w:val="16"/>
              </w:rPr>
            </w:pPr>
            <w:r>
              <w:rPr>
                <w:rFonts w:ascii="arial" w:hAnsi="arial"/>
                <w:sz w:val="16"/>
              </w:rPr>
              <w:t xml:space="preserve">Consists of (i) 173,146 shares of our common stock held by a revocable trust for which Mr. Tobin is the grantor, (ii) 46,004 shares of common stock underlying outstanding stock options exercisable within 60 days of March 31, 2025 and (iii) 1,925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Consists of (i) 51,789 shares of common stock underlying outstanding stock options exercisable within 60 days of March 31, 2025 and (iii) 732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Consists of (i) 65,289 shares of common stock underlying outstanding stock options exercisable within 60 days of March 31, 2025 and (ii) 1,925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(8)</w:t>
            </w:r>
          </w:p>
        </w:tc>
        <w:tc>
          <w:tcPr>
            <w:tcW w:w="9947" w:type="dxa"/>
            <w:tcBorders/>
            <w:vAlign w:val="center"/>
          </w:tcPr>
          <w:p>
            <w:pPr>
              <w:pStyle w:val="TableContents"/>
              <w:bidi w:val="0"/>
              <w:spacing w:before="0" w:after="0"/>
              <w:jc w:val="left"/>
              <w:rPr>
                <w:rFonts w:ascii="arial" w:hAnsi="arial"/>
                <w:sz w:val="16"/>
              </w:rPr>
            </w:pPr>
            <w:r>
              <w:rPr>
                <w:rFonts w:ascii="arial" w:hAnsi="arial"/>
                <w:sz w:val="16"/>
              </w:rPr>
              <w:t xml:space="preserve">Consists of (i) 302,893 shares held, including 46,142 shares held by the Kania 2021 GRAT B, a grantor retained annuity trust, (ii) 30,070 shares of common stock underlying outstanding stock options exercisable within 60 days of March 31, 2025 and (iii) 1,925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(9)</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Consists of (i) 26,263 shares of common stock underlying outstanding stock options exercisable within 60 days of March 31, 2025 and (ii) 1,925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2"/>
        <w:gridCol w:w="9813"/>
      </w:tblGrid>
      <w:tr>
        <w:trPr/>
        <w:tc>
          <w:tcPr>
            <w:tcW w:w="392" w:type="dxa"/>
            <w:tcBorders/>
            <w:vAlign w:val="center"/>
          </w:tcPr>
          <w:p>
            <w:pPr>
              <w:pStyle w:val="TableContents"/>
              <w:bidi w:val="0"/>
              <w:spacing w:before="0" w:after="283"/>
              <w:jc w:val="left"/>
              <w:rPr/>
            </w:pPr>
            <w:r>
              <w:rPr/>
              <w:t>(10)</w:t>
            </w:r>
          </w:p>
        </w:tc>
        <w:tc>
          <w:tcPr>
            <w:tcW w:w="9813" w:type="dxa"/>
            <w:tcBorders/>
            <w:vAlign w:val="center"/>
          </w:tcPr>
          <w:p>
            <w:pPr>
              <w:pStyle w:val="TableContents"/>
              <w:bidi w:val="0"/>
              <w:spacing w:before="0" w:after="0"/>
              <w:jc w:val="left"/>
              <w:rPr>
                <w:rFonts w:ascii="arial" w:hAnsi="arial"/>
                <w:sz w:val="16"/>
              </w:rPr>
            </w:pPr>
            <w:r>
              <w:rPr>
                <w:rFonts w:ascii="arial" w:hAnsi="arial"/>
                <w:sz w:val="16"/>
              </w:rPr>
              <w:t xml:space="preserve">Consists of (i) 36,820 shares of common stock underlying outstanding stock options exercisable within 60 days of March 31, 2025 and (ii) 1,925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(11)</w:t>
            </w:r>
          </w:p>
        </w:tc>
        <w:tc>
          <w:tcPr>
            <w:tcW w:w="9817" w:type="dxa"/>
            <w:tcBorders/>
            <w:vAlign w:val="center"/>
          </w:tcPr>
          <w:p>
            <w:pPr>
              <w:pStyle w:val="TableContents"/>
              <w:bidi w:val="0"/>
              <w:spacing w:before="0" w:after="0"/>
              <w:jc w:val="left"/>
              <w:rPr>
                <w:rFonts w:ascii="arial" w:hAnsi="arial"/>
                <w:sz w:val="16"/>
              </w:rPr>
            </w:pPr>
            <w:r>
              <w:rPr>
                <w:rFonts w:ascii="arial" w:hAnsi="arial"/>
                <w:sz w:val="16"/>
              </w:rPr>
              <w:t xml:space="preserve">Consists of (i) 10,000 shares held, (ii) 40,070 shares of common stock underlying outstanding stock options exercisable within 60 days of March 31, 2025 and (iii) 732 shares of common stock underlying RSUs that vest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(12)</w:t>
            </w:r>
          </w:p>
        </w:tc>
        <w:tc>
          <w:tcPr>
            <w:tcW w:w="9820" w:type="dxa"/>
            <w:tcBorders/>
            <w:vAlign w:val="center"/>
          </w:tcPr>
          <w:p>
            <w:pPr>
              <w:pStyle w:val="TableContents"/>
              <w:bidi w:val="0"/>
              <w:spacing w:before="0" w:after="0"/>
              <w:jc w:val="left"/>
              <w:rPr>
                <w:rFonts w:ascii="arial" w:hAnsi="arial"/>
                <w:sz w:val="16"/>
              </w:rPr>
            </w:pPr>
            <w:r>
              <w:rPr>
                <w:rFonts w:ascii="arial" w:hAnsi="arial"/>
                <w:sz w:val="16"/>
              </w:rPr>
              <w:t xml:space="preserve">Mr. Gordon departed from his role as Chief Financial Officer of the Company, effective as of December 2, 2024. Consists of (i) 427 shares held and (ii) 40,019 shares of common stock underlying outstanding stock options exercisable within 60 days of March 31, 2025.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425"/>
        <w:gridCol w:w="9155"/>
      </w:tblGrid>
      <w:tr>
        <w:trPr/>
        <w:tc>
          <w:tcPr>
            <w:tcW w:w="425" w:type="dxa"/>
            <w:tcBorders/>
            <w:vAlign w:val="center"/>
          </w:tcPr>
          <w:p>
            <w:pPr>
              <w:pStyle w:val="TableContents"/>
              <w:bidi w:val="0"/>
              <w:spacing w:before="0" w:after="283"/>
              <w:jc w:val="left"/>
              <w:rPr/>
            </w:pPr>
            <w:r>
              <w:rPr/>
              <w:t>(13)</w:t>
            </w:r>
          </w:p>
        </w:tc>
        <w:tc>
          <w:tcPr>
            <w:tcW w:w="9155" w:type="dxa"/>
            <w:tcBorders/>
            <w:vAlign w:val="center"/>
          </w:tcPr>
          <w:p>
            <w:pPr>
              <w:pStyle w:val="TableContents"/>
              <w:bidi w:val="0"/>
              <w:spacing w:before="0" w:after="0"/>
              <w:jc w:val="left"/>
              <w:rPr>
                <w:rFonts w:ascii="arial" w:hAnsi="arial"/>
                <w:sz w:val="16"/>
              </w:rPr>
            </w:pPr>
            <w:r>
              <w:rPr>
                <w:rFonts w:ascii="arial" w:hAnsi="arial"/>
                <w:sz w:val="16"/>
              </w:rPr>
              <w:t xml:space="preserve">Consists of 331 shares of common stock underlying outstanding stock options exercisable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(14)</w:t>
            </w:r>
          </w:p>
        </w:tc>
        <w:tc>
          <w:tcPr>
            <w:tcW w:w="9792" w:type="dxa"/>
            <w:tcBorders/>
            <w:vAlign w:val="center"/>
          </w:tcPr>
          <w:p>
            <w:pPr>
              <w:pStyle w:val="TableContents"/>
              <w:bidi w:val="0"/>
              <w:spacing w:before="0" w:after="0"/>
              <w:jc w:val="left"/>
              <w:rPr>
                <w:rFonts w:ascii="arial" w:hAnsi="arial"/>
                <w:sz w:val="16"/>
              </w:rPr>
            </w:pPr>
            <w:r>
              <w:rPr>
                <w:rFonts w:ascii="arial" w:hAnsi="arial"/>
                <w:sz w:val="16"/>
              </w:rPr>
              <w:t xml:space="preserve">Consists of (i) 5,994 shares held and (ii) 22,084 shares of common stock underlying outstanding stock options exercisable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pPr>
            <w:r>
              <w:rPr/>
              <w:t>(15)</w:t>
            </w:r>
          </w:p>
        </w:tc>
        <w:tc>
          <w:tcPr>
            <w:tcW w:w="9792" w:type="dxa"/>
            <w:tcBorders/>
            <w:vAlign w:val="center"/>
          </w:tcPr>
          <w:p>
            <w:pPr>
              <w:pStyle w:val="TableContents"/>
              <w:bidi w:val="0"/>
              <w:spacing w:before="0" w:after="0"/>
              <w:jc w:val="left"/>
              <w:rPr>
                <w:rFonts w:ascii="arial" w:hAnsi="arial"/>
                <w:sz w:val="16"/>
              </w:rPr>
            </w:pPr>
            <w:r>
              <w:rPr>
                <w:rFonts w:ascii="arial" w:hAnsi="arial"/>
                <w:sz w:val="16"/>
              </w:rPr>
              <w:t xml:space="preserve">Consists of (i) 7,036 shares held and (ii) 8,212 shares of common stock underlying outstanding stock options exercisable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(16)</w:t>
            </w:r>
          </w:p>
        </w:tc>
        <w:tc>
          <w:tcPr>
            <w:tcW w:w="9799" w:type="dxa"/>
            <w:tcBorders/>
            <w:vAlign w:val="center"/>
          </w:tcPr>
          <w:p>
            <w:pPr>
              <w:pStyle w:val="TableContents"/>
              <w:bidi w:val="0"/>
              <w:spacing w:before="0" w:after="0"/>
              <w:jc w:val="left"/>
              <w:rPr>
                <w:rFonts w:ascii="arial" w:hAnsi="arial"/>
                <w:sz w:val="16"/>
              </w:rPr>
            </w:pPr>
            <w:r>
              <w:rPr>
                <w:rFonts w:ascii="arial" w:hAnsi="arial"/>
                <w:sz w:val="16"/>
              </w:rPr>
              <w:t xml:space="preserve">Consists of (i) 1,873 shares of common stock held and (ii) 3,287 shares of common stock underlying outstanding stock options exercisable within 60 days of March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(17)</w:t>
            </w:r>
          </w:p>
        </w:tc>
        <w:tc>
          <w:tcPr>
            <w:tcW w:w="9818" w:type="dxa"/>
            <w:tcBorders/>
            <w:vAlign w:val="center"/>
          </w:tcPr>
          <w:p>
            <w:pPr>
              <w:pStyle w:val="TableContents"/>
              <w:bidi w:val="0"/>
              <w:spacing w:before="0" w:after="0"/>
              <w:jc w:val="left"/>
              <w:rPr>
                <w:rFonts w:ascii="arial" w:hAnsi="arial"/>
                <w:sz w:val="16"/>
              </w:rPr>
            </w:pPr>
            <w:r>
              <w:rPr>
                <w:rFonts w:ascii="arial" w:hAnsi="arial"/>
                <w:sz w:val="16"/>
              </w:rPr>
              <w:t xml:space="preserve">Consists of (i) 982,553 shares held, (ii) 1,163,799 shares of common stock underlying outstanding stock options exercisable within 60 days of March 31, 2025 and (iii) 11,089 shares of common stock underlying RSUs that vest within 60 days of March 31, 2025.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17" w:name="toc803709_15"/>
      <w:bookmarkEnd w:id="17"/>
      <w:r>
        <w:rPr>
          <w:rFonts w:ascii="arial" w:hAnsi="arial"/>
          <w:b/>
          <w:color w:val="A41F35"/>
          <w:sz w:val="56"/>
        </w:rPr>
        <w:t xml:space="preserve">Executive Compensation </w:t>
      </w:r>
    </w:p>
    <w:p>
      <w:pPr>
        <w:pStyle w:val="TextBody"/>
        <w:bidi w:val="0"/>
        <w:spacing w:before="480" w:after="0"/>
        <w:jc w:val="left"/>
        <w:rPr>
          <w:rFonts w:ascii="arial" w:hAnsi="arial"/>
          <w:b/>
          <w:color w:val="A41F35"/>
          <w:sz w:val="28"/>
        </w:rPr>
      </w:pPr>
      <w:bookmarkStart w:id="18" w:name="toc803709_17"/>
      <w:bookmarkEnd w:id="18"/>
      <w:r>
        <w:rPr>
          <w:rFonts w:ascii="arial" w:hAnsi="arial"/>
          <w:b/>
          <w:color w:val="A41F35"/>
          <w:sz w:val="28"/>
        </w:rPr>
        <w:t xml:space="preserve">Compensation Discussion and Analysis </w:t>
      </w:r>
    </w:p>
    <w:p>
      <w:pPr>
        <w:pStyle w:val="TextBody"/>
        <w:bidi w:val="0"/>
        <w:spacing w:before="120" w:after="0"/>
        <w:jc w:val="left"/>
        <w:rPr>
          <w:rFonts w:ascii="arial" w:hAnsi="arial"/>
          <w:sz w:val="18"/>
        </w:rPr>
      </w:pPr>
      <w:r>
        <w:rPr>
          <w:rFonts w:ascii="arial" w:hAnsi="arial"/>
          <w:sz w:val="18"/>
        </w:rPr>
        <w:t xml:space="preserve">This Compensation Discussion &amp; Analysis (“CD&amp;A”) explains our executive compensation program for our named executive officers (“NEOs”) listed below. This CD&amp;A also describes our Compensation Committee’s process for making pay decisions, as well as its rationale for specific pay decisions related to the fiscal year ended December 31, 2024.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2285"/>
        <w:gridCol w:w="120"/>
        <w:gridCol w:w="599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5990" w:type="dxa"/>
            <w:tcBorders>
              <w:bottom w:val="single" w:sz="16" w:space="0" w:color="A41F35"/>
            </w:tcBorders>
            <w:tcMar>
              <w:bottom w:w="40" w:type="dxa"/>
            </w:tcMar>
            <w:vAlign w:val="center"/>
          </w:tcPr>
          <w:p>
            <w:pPr>
              <w:pStyle w:val="TableContents"/>
              <w:bidi w:val="0"/>
              <w:spacing w:before="0" w:after="283"/>
              <w:jc w:val="left"/>
              <w:rPr>
                <w:b/>
              </w:rPr>
            </w:pPr>
            <w:r>
              <w:rPr>
                <w:b/>
              </w:rPr>
              <w:t>Principal Position</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11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5990" w:type="dxa"/>
            <w:tcBorders/>
            <w:shd w:fill="EFECE8" w:val="clear"/>
            <w:vAlign w:val="center"/>
          </w:tcPr>
          <w:p>
            <w:pPr>
              <w:pStyle w:val="TableContents"/>
              <w:bidi w:val="0"/>
              <w:spacing w:before="0" w:after="283"/>
              <w:jc w:val="left"/>
              <w:rPr/>
            </w:pPr>
            <w:r>
              <w:rPr/>
              <w:t>President and Chief Executive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611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Hernandez(1)</w:t>
            </w:r>
          </w:p>
        </w:tc>
        <w:tc>
          <w:tcPr>
            <w:tcW w:w="12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Chief Financial Officer</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11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5990" w:type="dxa"/>
            <w:tcBorders/>
            <w:shd w:fill="EFECE8" w:val="clear"/>
            <w:vAlign w:val="center"/>
          </w:tcPr>
          <w:p>
            <w:pPr>
              <w:pStyle w:val="TableContents"/>
              <w:bidi w:val="0"/>
              <w:spacing w:before="0" w:after="283"/>
              <w:jc w:val="left"/>
              <w:rPr/>
            </w:pPr>
            <w:r>
              <w:rPr/>
              <w:t>Chief Commercial Officer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611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283"/>
              <w:jc w:val="left"/>
              <w:rPr/>
            </w:pPr>
            <w:r>
              <w:rPr/>
              <w:t>Senior Vice President of Supply Chain &amp; Operations</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11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5990" w:type="dxa"/>
            <w:tcBorders/>
            <w:shd w:fill="EFECE8" w:val="clear"/>
            <w:vAlign w:val="center"/>
          </w:tcPr>
          <w:p>
            <w:pPr>
              <w:pStyle w:val="TableContents"/>
              <w:bidi w:val="0"/>
              <w:spacing w:before="0" w:after="283"/>
              <w:jc w:val="left"/>
              <w:rPr/>
            </w:pPr>
            <w:r>
              <w:rPr/>
              <w:t>Senior Vice President, General Counsel &amp; Corporate Secretary</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611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Gordon(1)</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5990" w:type="dxa"/>
            <w:tcBorders>
              <w:bottom w:val="single" w:sz="8" w:space="0" w:color="A41F35"/>
            </w:tcBorders>
            <w:tcMar>
              <w:bottom w:w="40" w:type="dxa"/>
            </w:tcMar>
            <w:vAlign w:val="center"/>
          </w:tcPr>
          <w:p>
            <w:pPr>
              <w:pStyle w:val="TableContents"/>
              <w:bidi w:val="0"/>
              <w:spacing w:before="0" w:after="283"/>
              <w:jc w:val="left"/>
              <w:rPr/>
            </w:pPr>
            <w:r>
              <w:rPr/>
              <w:t>Former Chief Financial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1)</w:t>
            </w:r>
          </w:p>
        </w:tc>
        <w:tc>
          <w:tcPr>
            <w:tcW w:w="10024" w:type="dxa"/>
            <w:tcBorders/>
            <w:vAlign w:val="center"/>
          </w:tcPr>
          <w:p>
            <w:pPr>
              <w:pStyle w:val="TableContents"/>
              <w:bidi w:val="0"/>
              <w:spacing w:before="0" w:after="0"/>
              <w:jc w:val="left"/>
              <w:rPr>
                <w:rFonts w:ascii="arial" w:hAnsi="arial"/>
                <w:sz w:val="16"/>
              </w:rPr>
            </w:pPr>
            <w:r>
              <w:rPr>
                <w:rFonts w:ascii="arial" w:hAnsi="arial"/>
                <w:sz w:val="16"/>
              </w:rPr>
              <w:t xml:space="preserve">Mr. Hernandez joined the Company effective December 2, 2024, succeeding Mr. Gordon in the role of Chief Financial Officer. Mr. Gordon continued to serve as a non-executive employee of the Company until March 31, 2025. From March 31, 2025 until March 31, 2026, Mr. Gordon is expected to serve as a non-employee senior advisor to our Chief Executive Officer. </w:t>
            </w:r>
          </w:p>
        </w:tc>
      </w:tr>
    </w:tbl>
    <w:p>
      <w:pPr>
        <w:pStyle w:val="TextBody"/>
        <w:bidi w:val="0"/>
        <w:spacing w:before="360" w:after="0"/>
        <w:jc w:val="left"/>
        <w:rPr>
          <w:rFonts w:ascii="arial" w:hAnsi="arial"/>
          <w:b/>
          <w:color w:val="A41F35"/>
          <w:sz w:val="28"/>
        </w:rPr>
      </w:pPr>
      <w:bookmarkStart w:id="19" w:name="toc803709_16"/>
      <w:bookmarkEnd w:id="19"/>
      <w:r>
        <w:rPr>
          <w:rFonts w:ascii="arial" w:hAnsi="arial"/>
          <w:b/>
          <w:color w:val="A41F35"/>
          <w:sz w:val="28"/>
        </w:rPr>
        <w:t xml:space="preserve">Executive Summary </w:t>
      </w:r>
    </w:p>
    <w:p>
      <w:pPr>
        <w:pStyle w:val="TextBody"/>
        <w:bidi w:val="0"/>
        <w:spacing w:before="120" w:after="0"/>
        <w:jc w:val="left"/>
        <w:rPr>
          <w:rFonts w:ascii="arial" w:hAnsi="arial"/>
          <w:b/>
          <w:color w:val="A41F35"/>
          <w:sz w:val="28"/>
        </w:rPr>
      </w:pPr>
      <w:r>
        <w:rPr>
          <w:rFonts w:ascii="arial" w:hAnsi="arial"/>
          <w:b/>
          <w:color w:val="A41F35"/>
          <w:sz w:val="28"/>
        </w:rPr>
        <w:t xml:space="preserve">Business Overview </w:t>
      </w:r>
    </w:p>
    <w:p>
      <w:pPr>
        <w:pStyle w:val="TextBody"/>
        <w:bidi w:val="0"/>
        <w:spacing w:before="120" w:after="0"/>
        <w:jc w:val="left"/>
        <w:rPr>
          <w:rFonts w:ascii="arial" w:hAnsi="arial"/>
          <w:sz w:val="18"/>
        </w:rPr>
      </w:pPr>
      <w:r>
        <w:rPr>
          <w:rFonts w:ascii="arial" w:hAnsi="arial"/>
          <w:sz w:val="18"/>
        </w:rPr>
        <w:t xml:space="preserve">We are a medical technology company transforming organ transplant therapy for end-stage organ failure patients across multiple disease states. Our Organ Care System (“OCS”) is a portable organ perfusion, optimization and monitoring system that utilizes our proprietary and customized technology to replicate near-physiologic conditions for donor organs outside of the human body. We developed the OCS™ to replace a decades-old standard of care that we believe is significantly limiting access to life-saving transplant therapy for hundreds of thousands of patients worldwide. The OCS represents a paradigm shift that transforms organ preservation for transplantation from a static state to a dynamic environment that enables new capabilities, including organ optimization and assessment. The OCS is the first and only multi-organ, portable platform that has received Premarket Approval (“PMA”) from the FDA. We have also developed our National OCS Program (“NOP”), an innovative turnkey solution to provide outsourced organ procurement, OCS perfusion management and transplant logistics services, to provide transplant programs in the United States with a more efficient process to procure donor organs with the OCS. Our logistics services include aviation transportation, ground transportation, and other coordination activities. We believe the use of the OCS combined with the NOP™ has the potential to significantly increase the number of organ transplants and improve post-transplant outcomes. </w:t>
      </w:r>
    </w:p>
    <w:p>
      <w:pPr>
        <w:pStyle w:val="TextBody"/>
        <w:bidi w:val="0"/>
        <w:spacing w:before="360" w:after="0"/>
        <w:jc w:val="left"/>
        <w:rPr>
          <w:rFonts w:ascii="arial" w:hAnsi="arial"/>
          <w:b/>
          <w:color w:val="A41F35"/>
          <w:sz w:val="28"/>
        </w:rPr>
      </w:pPr>
      <w:r>
        <w:rPr>
          <w:rFonts w:ascii="arial" w:hAnsi="arial"/>
          <w:b/>
          <w:color w:val="A41F35"/>
          <w:sz w:val="28"/>
        </w:rPr>
        <w:t xml:space="preserve">2024 Performance Highlights </w:t>
      </w:r>
    </w:p>
    <w:p>
      <w:pPr>
        <w:pStyle w:val="TextBody"/>
        <w:bidi w:val="0"/>
        <w:spacing w:before="120" w:after="0"/>
        <w:jc w:val="left"/>
        <w:rPr>
          <w:rFonts w:ascii="arial" w:hAnsi="arial"/>
          <w:sz w:val="18"/>
        </w:rPr>
      </w:pPr>
      <w:r>
        <w:rPr>
          <w:rFonts w:ascii="arial" w:hAnsi="arial"/>
          <w:sz w:val="18"/>
        </w:rPr>
        <w:t xml:space="preserve">2024 was another strong year for the Company. We continued to produce strong financial results, with our revenue growing by 83% compared to 2023 while achieving profitability, investing in our clinical and product pipelines, and continuing to build our infrastructure to capitalize on our highly differentiated technology and service offering. Our revenue growth was due primarily to the increase in utilization of the OCS across all three organs through the NOP, as well as additional revenue generated by transplant logistics services. We strongly believe the use of OCS technology and the NOP once again played a key role in driving the national adult heart and adult liver transplant volumes due to the increased use of the NOP for DCD and DBD donors in the U.S. During 2024, we also expanded our capabilities through investments in our NOP network, built a world class logistics command center in our headquarters in Andover, Massachusetts, and expanded our fleet of owned aircraft.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20</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These short- and long-term accomplishments continued to drive our stock price to higher levels. Over the three- and five-year periods ending December 31, 2024, our stock price has outperformed comparable market indices, as shown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4671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10"/>
                    <a:stretch>
                      <a:fillRect/>
                    </a:stretch>
                  </pic:blipFill>
                  <pic:spPr bwMode="auto">
                    <a:xfrm>
                      <a:off x="0" y="0"/>
                      <a:ext cx="7810500" cy="3467100"/>
                    </a:xfrm>
                    <a:prstGeom prst="rect">
                      <a:avLst/>
                    </a:prstGeom>
                  </pic:spPr>
                </pic:pic>
              </a:graphicData>
            </a:graphic>
          </wp:inline>
        </w:drawing>
      </w:r>
      <w:r>
        <w:rPr/>
        <w:t xml:space="preserve"> </w:t>
      </w:r>
    </w:p>
    <w:p>
      <w:pPr>
        <w:pStyle w:val="TextBody"/>
        <w:bidi w:val="0"/>
        <w:spacing w:before="160" w:after="0"/>
        <w:jc w:val="left"/>
        <w:rPr>
          <w:rFonts w:ascii="arial" w:hAnsi="arial"/>
          <w:sz w:val="18"/>
        </w:rPr>
      </w:pPr>
      <w:r>
        <w:rPr>
          <w:rFonts w:ascii="arial" w:hAnsi="arial"/>
          <w:sz w:val="18"/>
        </w:rPr>
        <w:t xml:space="preserve">We believe that the efforts of our named executive officers were critical to our success in 2024 and continue to position us for further growth in 2025 as we continue to enhance our NOP offering by offering the highest quality technology, clinical service and transplant logistics service to our customers. </w:t>
      </w:r>
    </w:p>
    <w:p>
      <w:pPr>
        <w:pStyle w:val="TextBody"/>
        <w:bidi w:val="0"/>
        <w:spacing w:before="360" w:after="0"/>
        <w:jc w:val="left"/>
        <w:rPr>
          <w:rFonts w:ascii="arial" w:hAnsi="arial"/>
          <w:b/>
          <w:color w:val="A41F35"/>
          <w:sz w:val="28"/>
        </w:rPr>
      </w:pPr>
      <w:r>
        <w:rPr>
          <w:rFonts w:ascii="arial" w:hAnsi="arial"/>
          <w:b/>
          <w:color w:val="A41F35"/>
          <w:sz w:val="28"/>
        </w:rPr>
        <w:t xml:space="preserve">2024 Executive Compensation Highlights </w:t>
      </w:r>
    </w:p>
    <w:p>
      <w:pPr>
        <w:pStyle w:val="TextBody"/>
        <w:bidi w:val="0"/>
        <w:spacing w:before="120" w:after="0"/>
        <w:jc w:val="left"/>
        <w:rPr>
          <w:rFonts w:ascii="arial" w:hAnsi="arial"/>
          <w:sz w:val="18"/>
        </w:rPr>
      </w:pPr>
      <w:r>
        <w:rPr>
          <w:rFonts w:ascii="arial" w:hAnsi="arial"/>
          <w:sz w:val="18"/>
        </w:rPr>
        <w:t xml:space="preserve">Our executive compensation program has three primary elements: base salary, annual cash bonuses, and long-term equity compensation. Each of these compensation elements serves a specific purpose in our compensation strategy. Base salary is an essential component to any market-competitive compensation program. Annual cash bonuses reward the achievement of short-term goals, while long-term equity compensation drives our NEOs to focus on long-term sustainable shareholder value creation. Based on our performance and consistent with the design of our program, the Compensation Committee made the following executive compensation decisions for fiscal year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Base salaries:</w:t>
            </w:r>
            <w:r>
              <w:rPr>
                <w:rFonts w:ascii="arial" w:hAnsi="arial"/>
                <w:sz w:val="18"/>
              </w:rPr>
              <w:t xml:space="preserve"> The Compensation Committee approved base salary increases ranging from 0% to 16% for our named executive officers (other than Mr. Hernandez, who was hired in 2024). For more information, please see section “2024 EXECUTIVE COMPENSATION PROGRAM IN DETAIL — Base Salary”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Annual cash bonuses:</w:t>
            </w:r>
            <w:r>
              <w:rPr>
                <w:rFonts w:ascii="arial" w:hAnsi="arial"/>
                <w:sz w:val="18"/>
              </w:rPr>
              <w:t xml:space="preserve"> Based on our 2024 revenue of $441.5 million (119.3% of our target revenue of $370 million, and an 83% increase compared to our revenue in 2023) and achievement of six out of eight non-financial strategic objectives, our Compensation Committee determined that each named executive officer would receive the maximum annual bonus for which he was eligible in 2024, except that Mr. Ranganath’s annual bonus was capped at 100% of target consistent with Company internal practices for new leaders. For more information, please see section “2024 EXECUTIVE COMPENSATION PROGRAM IN DETAIL — Annual Bonuses”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Long-term equity compensation:</w:t>
            </w:r>
            <w:r>
              <w:rPr>
                <w:rFonts w:ascii="arial" w:hAnsi="arial"/>
                <w:sz w:val="18"/>
              </w:rPr>
              <w:t xml:space="preserve"> We granted long-term incentives using a mix of 50% stock options and 50% restricted stock units (“RSUs”), based on grant date fair value using a 30-day average closing price, to each of our named executive officers. We also continued working with Pearl Meyer to analyze our equity granting practices, including the potential introduction of performance-based equity, and have decided to maintain our current approach at this time. We continue to be committed to evolving our equity mix over time to align with market best-practices for our industry and support our business and leadership talent retention objectives. For more information, please see section “2024 EXECUTIVE COMPENSATION PROGRAM IN DETAIL — Equity Incentive Awards” below. </w:t>
            </w:r>
          </w:p>
        </w:tc>
      </w:tr>
    </w:tbl>
    <w:p>
      <w:pPr>
        <w:pStyle w:val="TextBody"/>
        <w:bidi w:val="0"/>
        <w:spacing w:before="160" w:after="0"/>
        <w:jc w:val="left"/>
        <w:rPr>
          <w:rFonts w:ascii="arial" w:hAnsi="arial"/>
          <w:sz w:val="18"/>
        </w:rPr>
      </w:pPr>
      <w:r>
        <w:rPr>
          <w:rFonts w:ascii="arial" w:hAnsi="arial"/>
          <w:sz w:val="18"/>
        </w:rPr>
        <w:t xml:space="preserve">In addition, the Compensation Committee made certain compensation decisions relating to our CFO transition, as described in further detail later under “CFO Transition” below.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color w:val="A41F35"/>
          <w:sz w:val="18"/>
        </w:rPr>
      </w:pPr>
      <w:r>
        <w:rPr>
          <w:rFonts w:ascii="arial" w:hAnsi="arial"/>
          <w:color w:val="A41F35"/>
          <w:sz w:val="18"/>
        </w:rPr>
        <w:t xml:space="preserve">2024 Say-on-Pay and Shareholder Feedback </w:t>
      </w:r>
    </w:p>
    <w:p>
      <w:pPr>
        <w:pStyle w:val="TextBody"/>
        <w:bidi w:val="0"/>
        <w:spacing w:before="120" w:after="0"/>
        <w:jc w:val="left"/>
        <w:rPr>
          <w:rFonts w:ascii="arial" w:hAnsi="arial"/>
          <w:sz w:val="18"/>
        </w:rPr>
      </w:pPr>
      <w:r>
        <w:rPr>
          <w:rFonts w:ascii="arial" w:hAnsi="arial"/>
          <w:sz w:val="18"/>
        </w:rPr>
        <w:t xml:space="preserve">At the Company’s 2024 annual meeting, our executive compensation program garnered significant support. Approximately 95% of the shares voted approved the advisory “say on pay” proposal for the compensation of our NEOs, marking another year of strong results. The positive outcome reflects the comprehensive changes we implemented for 2023, which were largely informed by the feedback from our shareholder outreach efforts following the 2022 say-on-pay vote. These enhancements, listed below, strengthened our executive compensation program and remained in place for 2024: </w:t>
      </w:r>
    </w:p>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125"/>
        <w:gridCol w:w="60"/>
        <w:gridCol w:w="744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arial" w:hAnsi="arial"/>
                <w:sz w:val="18"/>
              </w:rPr>
            </w:pPr>
            <w:r>
              <w:rPr>
                <w:rFonts w:ascii="arial" w:hAnsi="arial"/>
                <w:sz w:val="18"/>
              </w:rPr>
              <w:t xml:space="preserve">Using a compensation peer group that appropriately reflects our size and growth trajectory;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Having an annual cash bonus program driven by a formulaic measurement of revenue, with a payout cap of 200% of target annual bonus awards, and a threshold performance level;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125"/>
        <w:gridCol w:w="60"/>
        <w:gridCol w:w="977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9770" w:type="dxa"/>
            <w:tcBorders/>
            <w:vAlign w:val="center"/>
          </w:tcPr>
          <w:p>
            <w:pPr>
              <w:pStyle w:val="TableContents"/>
              <w:bidi w:val="0"/>
              <w:spacing w:before="0" w:after="0"/>
              <w:jc w:val="left"/>
              <w:rPr>
                <w:rFonts w:ascii="arial" w:hAnsi="arial"/>
                <w:sz w:val="18"/>
              </w:rPr>
            </w:pPr>
            <w:r>
              <w:rPr>
                <w:rFonts w:ascii="arial" w:hAnsi="arial"/>
                <w:sz w:val="18"/>
              </w:rPr>
              <w:t xml:space="preserve">Granting long-term incentive awards using a mix of equity that includes full value awards (RSUs) and stock options; and </w:t>
            </w:r>
          </w:p>
        </w:tc>
      </w:tr>
    </w:tbl>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125"/>
        <w:gridCol w:w="60"/>
        <w:gridCol w:w="309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arial" w:hAnsi="arial"/>
                <w:sz w:val="18"/>
              </w:rPr>
            </w:pPr>
            <w:r>
              <w:rPr>
                <w:rFonts w:ascii="arial" w:hAnsi="arial"/>
                <w:sz w:val="18"/>
              </w:rPr>
              <w:t xml:space="preserve">Included stock ownership guidelines. </w:t>
            </w:r>
          </w:p>
        </w:tc>
      </w:tr>
    </w:tbl>
    <w:p>
      <w:pPr>
        <w:pStyle w:val="TextBody"/>
        <w:bidi w:val="0"/>
        <w:spacing w:before="160" w:after="0"/>
        <w:jc w:val="left"/>
        <w:rPr>
          <w:rFonts w:ascii="arial" w:hAnsi="arial"/>
          <w:sz w:val="18"/>
        </w:rPr>
      </w:pPr>
      <w:r>
        <w:rPr>
          <w:rFonts w:ascii="arial" w:hAnsi="arial"/>
          <w:sz w:val="18"/>
        </w:rPr>
        <w:t xml:space="preserve">As our business and executive compensation program continue to evolve, we remain committed to ongoing shareholder engagement and maintaining open and ongoing dialogues. We have also enhanced transparency around our executive compensation program, ensuring clearer disclosures and more accessible communication. In the future, we will continue to consider shareholder feedback and the outcomes of say-on-pay votes as we refine our approach, ensuring that our executive compensation decisions reflect both investor perspectives and the strategic needs of the Company. </w:t>
      </w:r>
    </w:p>
    <w:p>
      <w:pPr>
        <w:pStyle w:val="TextBody"/>
        <w:bidi w:val="0"/>
        <w:spacing w:before="360" w:after="0"/>
        <w:jc w:val="left"/>
        <w:rPr>
          <w:rFonts w:ascii="arial" w:hAnsi="arial"/>
          <w:b/>
          <w:color w:val="A41F35"/>
          <w:sz w:val="28"/>
        </w:rPr>
      </w:pPr>
      <w:r>
        <w:rPr>
          <w:rFonts w:ascii="arial" w:hAnsi="arial"/>
          <w:b/>
          <w:color w:val="A41F35"/>
          <w:sz w:val="28"/>
        </w:rPr>
        <w:t xml:space="preserve">Best Compensation Practices &amp; Policies </w:t>
      </w:r>
    </w:p>
    <w:p>
      <w:pPr>
        <w:pStyle w:val="TextBody"/>
        <w:bidi w:val="0"/>
        <w:spacing w:before="120" w:after="0"/>
        <w:jc w:val="left"/>
        <w:rPr>
          <w:rFonts w:ascii="arial" w:hAnsi="arial"/>
          <w:sz w:val="18"/>
        </w:rPr>
      </w:pPr>
      <w:r>
        <w:rPr>
          <w:rFonts w:ascii="arial" w:hAnsi="arial"/>
          <w:sz w:val="18"/>
        </w:rPr>
        <w:t xml:space="preserve">We believe the following practices and policies within our executive compensation program promote sound governance principles and are in the best interests of our shareholders: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20"/>
        <w:gridCol w:w="5443"/>
        <w:gridCol w:w="60"/>
        <w:gridCol w:w="170"/>
        <w:gridCol w:w="120"/>
        <w:gridCol w:w="4122"/>
      </w:tblGrid>
      <w:tr>
        <w:trPr/>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22" w:type="dxa"/>
            <w:tcBorders/>
            <w:vAlign w:val="center"/>
          </w:tcPr>
          <w:p>
            <w:pPr>
              <w:pStyle w:val="TableContents"/>
              <w:bidi w:val="0"/>
              <w:spacing w:before="0" w:after="283"/>
              <w:jc w:val="left"/>
              <w:rPr>
                <w:sz w:val="4"/>
                <w:szCs w:val="4"/>
              </w:rPr>
            </w:pPr>
            <w:r>
              <w:rPr>
                <w:sz w:val="4"/>
                <w:szCs w:val="4"/>
              </w:rPr>
            </w:r>
          </w:p>
        </w:tc>
      </w:tr>
      <w:tr>
        <w:trPr/>
        <w:tc>
          <w:tcPr>
            <w:tcW w:w="170" w:type="dxa"/>
            <w:tcBorders>
              <w:bottom w:val="single" w:sz="16" w:space="0" w:color="A41F3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5443" w:type="dxa"/>
            <w:tcBorders>
              <w:bottom w:val="single" w:sz="16" w:space="0" w:color="A41F35"/>
            </w:tcBorders>
            <w:tcMar>
              <w:bottom w:w="40" w:type="dxa"/>
            </w:tcMar>
            <w:vAlign w:val="center"/>
          </w:tcPr>
          <w:p>
            <w:pPr>
              <w:pStyle w:val="TableContents"/>
              <w:bidi w:val="0"/>
              <w:spacing w:before="0" w:after="283"/>
              <w:jc w:val="center"/>
              <w:rPr>
                <w:b/>
              </w:rPr>
            </w:pPr>
            <w:r>
              <w:rPr>
                <w:b/>
              </w:rPr>
              <w:t>What We Do</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70" w:type="dxa"/>
            <w:tcBorders>
              <w:bottom w:val="single" w:sz="16" w:space="0" w:color="A41F3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4122" w:type="dxa"/>
            <w:tcBorders>
              <w:bottom w:val="single" w:sz="16" w:space="0" w:color="A41F35"/>
            </w:tcBorders>
            <w:tcMar>
              <w:bottom w:w="40" w:type="dxa"/>
            </w:tcMar>
            <w:vAlign w:val="center"/>
          </w:tcPr>
          <w:p>
            <w:pPr>
              <w:pStyle w:val="TableContents"/>
              <w:bidi w:val="0"/>
              <w:spacing w:before="0" w:after="283"/>
              <w:jc w:val="center"/>
              <w:rPr>
                <w:b/>
              </w:rPr>
            </w:pPr>
            <w:r>
              <w:rPr>
                <w:b/>
              </w:rPr>
              <w:t>What We Don’t Do</w:t>
            </w:r>
          </w:p>
        </w:tc>
      </w:tr>
      <w:tr>
        <w:trPr/>
        <w:tc>
          <w:tcPr>
            <w:tcW w:w="170" w:type="dxa"/>
            <w:tcBorders/>
            <w:shd w:fill="EFECE8" w:val="clear"/>
            <w:vAlign w:val="center"/>
          </w:tcPr>
          <w:p>
            <w:pPr>
              <w:pStyle w:val="TableContents"/>
              <w:bidi w:val="0"/>
              <w:spacing w:before="0" w:after="283"/>
              <w:jc w:val="left"/>
              <w:rPr>
                <w:sz w:val="4"/>
                <w:szCs w:val="4"/>
              </w:rPr>
            </w:pPr>
            <w:r>
              <w:rPr>
                <w:sz w:val="4"/>
                <w:szCs w:val="4"/>
              </w:rPr>
            </w:r>
          </w:p>
        </w:tc>
        <w:tc>
          <w:tcPr>
            <w:tcW w:w="5563" w:type="dxa"/>
            <w:gridSpan w:val="2"/>
            <w:tcBorders/>
            <w:shd w:fill="EFECE8" w:val="clear"/>
            <w:vAlign w:val="center"/>
          </w:tcPr>
          <w:p>
            <w:pPr>
              <w:pStyle w:val="TableContents"/>
              <w:bidi w:val="0"/>
              <w:spacing w:before="0" w:after="283"/>
              <w:jc w:val="left"/>
              <w:rPr>
                <w:sz w:val="4"/>
                <w:szCs w:val="4"/>
              </w:rPr>
            </w:pPr>
            <w:r>
              <w:rPr>
                <w:sz w:val="4"/>
                <w:szCs w:val="4"/>
              </w:rPr>
            </w:r>
          </w:p>
        </w:tc>
        <w:tc>
          <w:tcPr>
            <w:tcW w:w="230" w:type="dxa"/>
            <w:gridSpan w:val="2"/>
            <w:tcBorders/>
            <w:shd w:fill="EFECE8" w:val="clear"/>
            <w:vAlign w:val="center"/>
          </w:tcPr>
          <w:p>
            <w:pPr>
              <w:pStyle w:val="TableContents"/>
              <w:bidi w:val="0"/>
              <w:spacing w:before="0" w:after="283"/>
              <w:jc w:val="left"/>
              <w:rPr>
                <w:sz w:val="4"/>
                <w:szCs w:val="4"/>
              </w:rPr>
            </w:pPr>
            <w:r>
              <w:rPr>
                <w:sz w:val="4"/>
                <w:szCs w:val="4"/>
              </w:rPr>
            </w:r>
          </w:p>
        </w:tc>
        <w:tc>
          <w:tcPr>
            <w:tcW w:w="4242"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70" w:type="dxa"/>
            <w:tcBorders/>
            <w:shd w:fill="EFECE8" w:val="clear"/>
            <w:vAlign w:val="center"/>
          </w:tcPr>
          <w:p>
            <w:pPr>
              <w:pStyle w:val="TableContents"/>
              <w:bidi w:val="0"/>
              <w:spacing w:before="0" w:after="0"/>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5443" w:type="dxa"/>
            <w:tcBorders/>
            <w:shd w:fill="EFECE8" w:val="clear"/>
            <w:vAlign w:val="center"/>
          </w:tcPr>
          <w:p>
            <w:pPr>
              <w:pStyle w:val="TableContents"/>
              <w:bidi w:val="0"/>
              <w:spacing w:before="0" w:after="283"/>
              <w:jc w:val="left"/>
              <w:rPr/>
            </w:pPr>
            <w:r>
              <w:rPr/>
              <w:t>Emphasize variable pay over fixed pay, with a significant portion tied to our financial results and stock performance</w:t>
            </w:r>
          </w:p>
        </w:tc>
        <w:tc>
          <w:tcPr>
            <w:tcW w:w="60" w:type="dxa"/>
            <w:tcBorders/>
            <w:shd w:fill="EFECE8" w:val="clear"/>
            <w:vAlign w:val="center"/>
          </w:tcPr>
          <w:p>
            <w:pPr>
              <w:pStyle w:val="TableContents"/>
              <w:bidi w:val="0"/>
              <w:spacing w:before="0" w:after="283"/>
              <w:jc w:val="left"/>
              <w:rPr/>
            </w:pPr>
            <w:r>
              <w:rPr/>
              <w:t> </w:t>
            </w:r>
          </w:p>
        </w:tc>
        <w:tc>
          <w:tcPr>
            <w:tcW w:w="170" w:type="dxa"/>
            <w:tcBorders/>
            <w:shd w:fill="EFECE8" w:val="clear"/>
            <w:vAlign w:val="center"/>
          </w:tcPr>
          <w:p>
            <w:pPr>
              <w:pStyle w:val="TableContents"/>
              <w:bidi w:val="0"/>
              <w:spacing w:before="0" w:after="283"/>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4122" w:type="dxa"/>
            <w:tcBorders/>
            <w:shd w:fill="EFECE8" w:val="clear"/>
            <w:vAlign w:val="center"/>
          </w:tcPr>
          <w:p>
            <w:pPr>
              <w:pStyle w:val="TableContents"/>
              <w:bidi w:val="0"/>
              <w:spacing w:before="0" w:after="283"/>
              <w:jc w:val="left"/>
              <w:rPr/>
            </w:pPr>
            <w:r>
              <w:rPr/>
              <w:t>No change in control excise tax gross ups for any executives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5563"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vAlign w:val="center"/>
          </w:tcPr>
          <w:p>
            <w:pPr>
              <w:pStyle w:val="TableContents"/>
              <w:bidi w:val="0"/>
              <w:spacing w:before="0" w:after="283"/>
              <w:jc w:val="left"/>
              <w:rPr>
                <w:sz w:val="4"/>
                <w:szCs w:val="4"/>
              </w:rPr>
            </w:pPr>
            <w:r>
              <w:rPr>
                <w:sz w:val="4"/>
                <w:szCs w:val="4"/>
              </w:rPr>
            </w:r>
          </w:p>
        </w:tc>
        <w:tc>
          <w:tcPr>
            <w:tcW w:w="4242"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0"/>
              <w:jc w:val="center"/>
              <w:rPr/>
            </w:pPr>
            <w:r>
              <w:rPr/>
              <w:t>✔</w:t>
            </w:r>
          </w:p>
        </w:tc>
        <w:tc>
          <w:tcPr>
            <w:tcW w:w="120" w:type="dxa"/>
            <w:tcBorders/>
            <w:vAlign w:val="center"/>
          </w:tcPr>
          <w:p>
            <w:pPr>
              <w:pStyle w:val="TableContents"/>
              <w:bidi w:val="0"/>
              <w:spacing w:before="0" w:after="283"/>
              <w:jc w:val="left"/>
              <w:rPr/>
            </w:pPr>
            <w:r>
              <w:rPr/>
              <w:t>  </w:t>
            </w:r>
          </w:p>
        </w:tc>
        <w:tc>
          <w:tcPr>
            <w:tcW w:w="5443" w:type="dxa"/>
            <w:tcBorders/>
            <w:vAlign w:val="center"/>
          </w:tcPr>
          <w:p>
            <w:pPr>
              <w:pStyle w:val="TableContents"/>
              <w:bidi w:val="0"/>
              <w:spacing w:before="0" w:after="283"/>
              <w:jc w:val="left"/>
              <w:rPr/>
            </w:pPr>
            <w:r>
              <w:rPr/>
              <w:t>Have a maximum payout under the annual bonus program</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283"/>
              <w:jc w:val="left"/>
              <w:rPr/>
            </w:pPr>
            <w:r>
              <w:rPr/>
              <w:t>No repricing of underwater stock options or SARs without shareholder approval</w:t>
            </w:r>
          </w:p>
        </w:tc>
      </w:tr>
      <w:tr>
        <w:trPr/>
        <w:tc>
          <w:tcPr>
            <w:tcW w:w="170" w:type="dxa"/>
            <w:tcBorders/>
            <w:shd w:fill="EFECE8" w:val="clear"/>
            <w:vAlign w:val="center"/>
          </w:tcPr>
          <w:p>
            <w:pPr>
              <w:pStyle w:val="TableContents"/>
              <w:bidi w:val="0"/>
              <w:spacing w:before="0" w:after="283"/>
              <w:jc w:val="left"/>
              <w:rPr>
                <w:sz w:val="4"/>
                <w:szCs w:val="4"/>
              </w:rPr>
            </w:pPr>
            <w:r>
              <w:rPr>
                <w:sz w:val="4"/>
                <w:szCs w:val="4"/>
              </w:rPr>
            </w:r>
          </w:p>
        </w:tc>
        <w:tc>
          <w:tcPr>
            <w:tcW w:w="5563" w:type="dxa"/>
            <w:gridSpan w:val="2"/>
            <w:tcBorders/>
            <w:shd w:fill="EFECE8" w:val="clear"/>
            <w:vAlign w:val="center"/>
          </w:tcPr>
          <w:p>
            <w:pPr>
              <w:pStyle w:val="TableContents"/>
              <w:bidi w:val="0"/>
              <w:spacing w:before="0" w:after="283"/>
              <w:jc w:val="left"/>
              <w:rPr>
                <w:sz w:val="4"/>
                <w:szCs w:val="4"/>
              </w:rPr>
            </w:pPr>
            <w:r>
              <w:rPr>
                <w:sz w:val="4"/>
                <w:szCs w:val="4"/>
              </w:rPr>
            </w:r>
          </w:p>
        </w:tc>
        <w:tc>
          <w:tcPr>
            <w:tcW w:w="230" w:type="dxa"/>
            <w:gridSpan w:val="2"/>
            <w:tcBorders/>
            <w:shd w:fill="EFECE8" w:val="clear"/>
            <w:vAlign w:val="center"/>
          </w:tcPr>
          <w:p>
            <w:pPr>
              <w:pStyle w:val="TableContents"/>
              <w:bidi w:val="0"/>
              <w:spacing w:before="0" w:after="283"/>
              <w:jc w:val="left"/>
              <w:rPr>
                <w:sz w:val="4"/>
                <w:szCs w:val="4"/>
              </w:rPr>
            </w:pPr>
            <w:r>
              <w:rPr>
                <w:sz w:val="4"/>
                <w:szCs w:val="4"/>
              </w:rPr>
            </w:r>
          </w:p>
        </w:tc>
        <w:tc>
          <w:tcPr>
            <w:tcW w:w="4242"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70" w:type="dxa"/>
            <w:tcBorders/>
            <w:shd w:fill="EFECE8" w:val="clear"/>
            <w:vAlign w:val="center"/>
          </w:tcPr>
          <w:p>
            <w:pPr>
              <w:pStyle w:val="TableContents"/>
              <w:bidi w:val="0"/>
              <w:spacing w:before="0" w:after="0"/>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5443" w:type="dxa"/>
            <w:tcBorders/>
            <w:shd w:fill="EFECE8" w:val="clear"/>
            <w:vAlign w:val="center"/>
          </w:tcPr>
          <w:p>
            <w:pPr>
              <w:pStyle w:val="TableContents"/>
              <w:bidi w:val="0"/>
              <w:spacing w:before="0" w:after="283"/>
              <w:jc w:val="left"/>
              <w:rPr/>
            </w:pPr>
            <w:r>
              <w:rPr/>
              <w:t>Maintain anti-hedging policies</w:t>
            </w:r>
          </w:p>
        </w:tc>
        <w:tc>
          <w:tcPr>
            <w:tcW w:w="60" w:type="dxa"/>
            <w:tcBorders/>
            <w:shd w:fill="EFECE8" w:val="clear"/>
            <w:vAlign w:val="center"/>
          </w:tcPr>
          <w:p>
            <w:pPr>
              <w:pStyle w:val="TableContents"/>
              <w:bidi w:val="0"/>
              <w:spacing w:before="0" w:after="283"/>
              <w:jc w:val="left"/>
              <w:rPr/>
            </w:pPr>
            <w:r>
              <w:rPr/>
              <w:t> </w:t>
            </w:r>
          </w:p>
        </w:tc>
        <w:tc>
          <w:tcPr>
            <w:tcW w:w="170" w:type="dxa"/>
            <w:tcBorders/>
            <w:shd w:fill="EFECE8" w:val="clear"/>
            <w:vAlign w:val="center"/>
          </w:tcPr>
          <w:p>
            <w:pPr>
              <w:pStyle w:val="TableContents"/>
              <w:bidi w:val="0"/>
              <w:spacing w:before="0" w:after="283"/>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4122" w:type="dxa"/>
            <w:tcBorders/>
            <w:shd w:fill="EFECE8" w:val="clear"/>
            <w:vAlign w:val="center"/>
          </w:tcPr>
          <w:p>
            <w:pPr>
              <w:pStyle w:val="TableContents"/>
              <w:bidi w:val="0"/>
              <w:spacing w:before="0" w:after="283"/>
              <w:jc w:val="left"/>
              <w:rPr/>
            </w:pPr>
            <w:r>
              <w:rPr/>
              <w:t>No “single-trigger” change in control payments or benefits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5563"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vAlign w:val="center"/>
          </w:tcPr>
          <w:p>
            <w:pPr>
              <w:pStyle w:val="TableContents"/>
              <w:bidi w:val="0"/>
              <w:spacing w:before="0" w:after="283"/>
              <w:jc w:val="left"/>
              <w:rPr>
                <w:sz w:val="4"/>
                <w:szCs w:val="4"/>
              </w:rPr>
            </w:pPr>
            <w:r>
              <w:rPr>
                <w:sz w:val="4"/>
                <w:szCs w:val="4"/>
              </w:rPr>
            </w:r>
          </w:p>
        </w:tc>
        <w:tc>
          <w:tcPr>
            <w:tcW w:w="4242"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0"/>
              <w:jc w:val="center"/>
              <w:rPr/>
            </w:pPr>
            <w:r>
              <w:rPr/>
              <w:t>✔</w:t>
            </w:r>
          </w:p>
        </w:tc>
        <w:tc>
          <w:tcPr>
            <w:tcW w:w="120" w:type="dxa"/>
            <w:tcBorders/>
            <w:vAlign w:val="center"/>
          </w:tcPr>
          <w:p>
            <w:pPr>
              <w:pStyle w:val="TableContents"/>
              <w:bidi w:val="0"/>
              <w:spacing w:before="0" w:after="283"/>
              <w:jc w:val="left"/>
              <w:rPr/>
            </w:pPr>
            <w:r>
              <w:rPr/>
              <w:t>  </w:t>
            </w:r>
          </w:p>
        </w:tc>
        <w:tc>
          <w:tcPr>
            <w:tcW w:w="5443" w:type="dxa"/>
            <w:tcBorders/>
            <w:vAlign w:val="center"/>
          </w:tcPr>
          <w:p>
            <w:pPr>
              <w:pStyle w:val="TableContents"/>
              <w:bidi w:val="0"/>
              <w:spacing w:before="0" w:after="283"/>
              <w:jc w:val="left"/>
              <w:rPr/>
            </w:pPr>
            <w:r>
              <w:rPr/>
              <w:t>Maintain a formal clawback policy</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283"/>
              <w:jc w:val="left"/>
              <w:rPr/>
            </w:pPr>
            <w:r>
              <w:rPr/>
              <w:t>No supplemental executive retirement plans</w:t>
            </w:r>
          </w:p>
        </w:tc>
      </w:tr>
      <w:tr>
        <w:trPr/>
        <w:tc>
          <w:tcPr>
            <w:tcW w:w="170" w:type="dxa"/>
            <w:tcBorders/>
            <w:shd w:fill="EFECE8" w:val="clear"/>
            <w:vAlign w:val="center"/>
          </w:tcPr>
          <w:p>
            <w:pPr>
              <w:pStyle w:val="TableContents"/>
              <w:bidi w:val="0"/>
              <w:spacing w:before="0" w:after="283"/>
              <w:jc w:val="left"/>
              <w:rPr>
                <w:sz w:val="4"/>
                <w:szCs w:val="4"/>
              </w:rPr>
            </w:pPr>
            <w:r>
              <w:rPr>
                <w:sz w:val="4"/>
                <w:szCs w:val="4"/>
              </w:rPr>
            </w:r>
          </w:p>
        </w:tc>
        <w:tc>
          <w:tcPr>
            <w:tcW w:w="5563" w:type="dxa"/>
            <w:gridSpan w:val="2"/>
            <w:tcBorders/>
            <w:shd w:fill="EFECE8" w:val="clear"/>
            <w:vAlign w:val="center"/>
          </w:tcPr>
          <w:p>
            <w:pPr>
              <w:pStyle w:val="TableContents"/>
              <w:bidi w:val="0"/>
              <w:spacing w:before="0" w:after="283"/>
              <w:jc w:val="left"/>
              <w:rPr>
                <w:sz w:val="4"/>
                <w:szCs w:val="4"/>
              </w:rPr>
            </w:pPr>
            <w:r>
              <w:rPr>
                <w:sz w:val="4"/>
                <w:szCs w:val="4"/>
              </w:rPr>
            </w:r>
          </w:p>
        </w:tc>
        <w:tc>
          <w:tcPr>
            <w:tcW w:w="230" w:type="dxa"/>
            <w:gridSpan w:val="2"/>
            <w:tcBorders/>
            <w:shd w:fill="EFECE8" w:val="clear"/>
            <w:vAlign w:val="center"/>
          </w:tcPr>
          <w:p>
            <w:pPr>
              <w:pStyle w:val="TableContents"/>
              <w:bidi w:val="0"/>
              <w:spacing w:before="0" w:after="283"/>
              <w:jc w:val="left"/>
              <w:rPr>
                <w:sz w:val="4"/>
                <w:szCs w:val="4"/>
              </w:rPr>
            </w:pPr>
            <w:r>
              <w:rPr>
                <w:sz w:val="4"/>
                <w:szCs w:val="4"/>
              </w:rPr>
            </w:r>
          </w:p>
        </w:tc>
        <w:tc>
          <w:tcPr>
            <w:tcW w:w="4242"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70" w:type="dxa"/>
            <w:tcBorders/>
            <w:shd w:fill="EFECE8" w:val="clear"/>
            <w:vAlign w:val="center"/>
          </w:tcPr>
          <w:p>
            <w:pPr>
              <w:pStyle w:val="TableContents"/>
              <w:bidi w:val="0"/>
              <w:spacing w:before="0" w:after="0"/>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5443" w:type="dxa"/>
            <w:tcBorders/>
            <w:shd w:fill="EFECE8" w:val="clear"/>
            <w:vAlign w:val="center"/>
          </w:tcPr>
          <w:p>
            <w:pPr>
              <w:pStyle w:val="TableContents"/>
              <w:bidi w:val="0"/>
              <w:spacing w:before="0" w:after="283"/>
              <w:jc w:val="left"/>
              <w:rPr/>
            </w:pPr>
            <w:r>
              <w:rPr/>
              <w:t>Maintain stock ownership guidelines</w:t>
            </w:r>
          </w:p>
        </w:tc>
        <w:tc>
          <w:tcPr>
            <w:tcW w:w="60" w:type="dxa"/>
            <w:tcBorders/>
            <w:shd w:fill="EFECE8" w:val="clear"/>
            <w:vAlign w:val="center"/>
          </w:tcPr>
          <w:p>
            <w:pPr>
              <w:pStyle w:val="TableContents"/>
              <w:bidi w:val="0"/>
              <w:spacing w:before="0" w:after="283"/>
              <w:jc w:val="left"/>
              <w:rPr/>
            </w:pPr>
            <w:r>
              <w:rPr/>
              <w:t> </w:t>
            </w:r>
          </w:p>
        </w:tc>
        <w:tc>
          <w:tcPr>
            <w:tcW w:w="170" w:type="dxa"/>
            <w:tcBorders/>
            <w:shd w:fill="EFECE8" w:val="clear"/>
            <w:vAlign w:val="center"/>
          </w:tcPr>
          <w:p>
            <w:pPr>
              <w:pStyle w:val="TableContents"/>
              <w:bidi w:val="0"/>
              <w:spacing w:before="0" w:after="283"/>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4122" w:type="dxa"/>
            <w:tcBorders/>
            <w:shd w:fill="EFECE8" w:val="clear"/>
            <w:vAlign w:val="center"/>
          </w:tcPr>
          <w:p>
            <w:pPr>
              <w:pStyle w:val="TableContents"/>
              <w:bidi w:val="0"/>
              <w:spacing w:before="0" w:after="283"/>
              <w:jc w:val="left"/>
              <w:rPr/>
            </w:pPr>
            <w:r>
              <w:rPr/>
              <w:t>No significant perquisites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5563"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vAlign w:val="center"/>
          </w:tcPr>
          <w:p>
            <w:pPr>
              <w:pStyle w:val="TableContents"/>
              <w:bidi w:val="0"/>
              <w:spacing w:before="0" w:after="283"/>
              <w:jc w:val="left"/>
              <w:rPr>
                <w:sz w:val="4"/>
                <w:szCs w:val="4"/>
              </w:rPr>
            </w:pPr>
            <w:r>
              <w:rPr>
                <w:sz w:val="4"/>
                <w:szCs w:val="4"/>
              </w:rPr>
            </w:r>
          </w:p>
        </w:tc>
        <w:tc>
          <w:tcPr>
            <w:tcW w:w="4242"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0"/>
              <w:jc w:val="center"/>
              <w:rPr/>
            </w:pPr>
            <w:r>
              <w:rPr/>
              <w:t>✔</w:t>
            </w:r>
          </w:p>
        </w:tc>
        <w:tc>
          <w:tcPr>
            <w:tcW w:w="120" w:type="dxa"/>
            <w:tcBorders/>
            <w:vAlign w:val="center"/>
          </w:tcPr>
          <w:p>
            <w:pPr>
              <w:pStyle w:val="TableContents"/>
              <w:bidi w:val="0"/>
              <w:spacing w:before="0" w:after="283"/>
              <w:jc w:val="left"/>
              <w:rPr/>
            </w:pPr>
            <w:r>
              <w:rPr/>
              <w:t>  </w:t>
            </w:r>
          </w:p>
        </w:tc>
        <w:tc>
          <w:tcPr>
            <w:tcW w:w="5443" w:type="dxa"/>
            <w:tcBorders/>
            <w:vAlign w:val="center"/>
          </w:tcPr>
          <w:p>
            <w:pPr>
              <w:pStyle w:val="TableContents"/>
              <w:bidi w:val="0"/>
              <w:spacing w:before="0" w:after="283"/>
              <w:jc w:val="left"/>
              <w:rPr/>
            </w:pPr>
            <w:r>
              <w:rPr/>
              <w:t>Use an independent compensation consultant</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4122" w:type="dxa"/>
            <w:tcBorders/>
            <w:vAlign w:val="center"/>
          </w:tcPr>
          <w:p>
            <w:pPr>
              <w:pStyle w:val="TableContents"/>
              <w:bidi w:val="0"/>
              <w:spacing w:before="0" w:after="283"/>
              <w:jc w:val="left"/>
              <w:rPr/>
            </w:pPr>
            <w:r>
              <w:rPr/>
              <w:t>No guaranteed annual bonuses or base salary increases</w:t>
            </w:r>
          </w:p>
        </w:tc>
      </w:tr>
      <w:tr>
        <w:trPr/>
        <w:tc>
          <w:tcPr>
            <w:tcW w:w="170" w:type="dxa"/>
            <w:tcBorders/>
            <w:shd w:fill="EFECE8" w:val="clear"/>
            <w:vAlign w:val="center"/>
          </w:tcPr>
          <w:p>
            <w:pPr>
              <w:pStyle w:val="TableContents"/>
              <w:bidi w:val="0"/>
              <w:spacing w:before="0" w:after="283"/>
              <w:jc w:val="left"/>
              <w:rPr>
                <w:sz w:val="4"/>
                <w:szCs w:val="4"/>
              </w:rPr>
            </w:pPr>
            <w:r>
              <w:rPr>
                <w:sz w:val="4"/>
                <w:szCs w:val="4"/>
              </w:rPr>
            </w:r>
          </w:p>
        </w:tc>
        <w:tc>
          <w:tcPr>
            <w:tcW w:w="5563" w:type="dxa"/>
            <w:gridSpan w:val="2"/>
            <w:tcBorders/>
            <w:shd w:fill="EFECE8" w:val="clear"/>
            <w:vAlign w:val="center"/>
          </w:tcPr>
          <w:p>
            <w:pPr>
              <w:pStyle w:val="TableContents"/>
              <w:bidi w:val="0"/>
              <w:spacing w:before="0" w:after="283"/>
              <w:jc w:val="left"/>
              <w:rPr>
                <w:sz w:val="4"/>
                <w:szCs w:val="4"/>
              </w:rPr>
            </w:pPr>
            <w:r>
              <w:rPr>
                <w:sz w:val="4"/>
                <w:szCs w:val="4"/>
              </w:rPr>
            </w:r>
          </w:p>
        </w:tc>
        <w:tc>
          <w:tcPr>
            <w:tcW w:w="230" w:type="dxa"/>
            <w:gridSpan w:val="2"/>
            <w:tcBorders/>
            <w:shd w:fill="EFECE8" w:val="clear"/>
            <w:vAlign w:val="center"/>
          </w:tcPr>
          <w:p>
            <w:pPr>
              <w:pStyle w:val="TableContents"/>
              <w:bidi w:val="0"/>
              <w:spacing w:before="0" w:after="283"/>
              <w:jc w:val="left"/>
              <w:rPr>
                <w:sz w:val="4"/>
                <w:szCs w:val="4"/>
              </w:rPr>
            </w:pPr>
            <w:r>
              <w:rPr>
                <w:sz w:val="4"/>
                <w:szCs w:val="4"/>
              </w:rPr>
            </w:r>
          </w:p>
        </w:tc>
        <w:tc>
          <w:tcPr>
            <w:tcW w:w="4242"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70" w:type="dxa"/>
            <w:tcBorders/>
            <w:shd w:fill="EFECE8" w:val="clear"/>
            <w:vAlign w:val="center"/>
          </w:tcPr>
          <w:p>
            <w:pPr>
              <w:pStyle w:val="TableContents"/>
              <w:bidi w:val="0"/>
              <w:spacing w:before="0" w:after="0"/>
              <w:jc w:val="center"/>
              <w:rPr/>
            </w:pPr>
            <w:r>
              <w:rPr/>
              <w:t>✔</w:t>
            </w:r>
          </w:p>
        </w:tc>
        <w:tc>
          <w:tcPr>
            <w:tcW w:w="120" w:type="dxa"/>
            <w:tcBorders/>
            <w:shd w:fill="EFECE8" w:val="clear"/>
            <w:vAlign w:val="center"/>
          </w:tcPr>
          <w:p>
            <w:pPr>
              <w:pStyle w:val="TableContents"/>
              <w:bidi w:val="0"/>
              <w:spacing w:before="0" w:after="283"/>
              <w:jc w:val="left"/>
              <w:rPr/>
            </w:pPr>
            <w:r>
              <w:rPr/>
              <w:t>  </w:t>
            </w:r>
          </w:p>
        </w:tc>
        <w:tc>
          <w:tcPr>
            <w:tcW w:w="5443" w:type="dxa"/>
            <w:tcBorders/>
            <w:shd w:fill="EFECE8" w:val="clear"/>
            <w:vAlign w:val="center"/>
          </w:tcPr>
          <w:p>
            <w:pPr>
              <w:pStyle w:val="TableContents"/>
              <w:bidi w:val="0"/>
              <w:spacing w:before="0" w:after="283"/>
              <w:jc w:val="left"/>
              <w:rPr/>
            </w:pPr>
            <w:r>
              <w:rPr/>
              <w:t>Hold an annual say-on-pay vote</w:t>
            </w:r>
          </w:p>
        </w:tc>
        <w:tc>
          <w:tcPr>
            <w:tcW w:w="60" w:type="dxa"/>
            <w:tcBorders/>
            <w:shd w:fill="EFECE8" w:val="clear"/>
            <w:vAlign w:val="center"/>
          </w:tcPr>
          <w:p>
            <w:pPr>
              <w:pStyle w:val="TableContents"/>
              <w:bidi w:val="0"/>
              <w:spacing w:before="0" w:after="283"/>
              <w:jc w:val="left"/>
              <w:rPr/>
            </w:pPr>
            <w:r>
              <w:rPr/>
              <w:t> </w:t>
            </w:r>
          </w:p>
        </w:tc>
        <w:tc>
          <w:tcPr>
            <w:tcW w:w="17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4122" w:type="dxa"/>
            <w:tcBorders/>
            <w:shd w:fill="EFECE8" w:val="clear"/>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left"/>
              <w:rPr>
                <w:sz w:val="4"/>
                <w:szCs w:val="4"/>
              </w:rPr>
            </w:pPr>
            <w:r>
              <w:rPr>
                <w:sz w:val="4"/>
                <w:szCs w:val="4"/>
              </w:rPr>
            </w:r>
          </w:p>
        </w:tc>
        <w:tc>
          <w:tcPr>
            <w:tcW w:w="5563" w:type="dxa"/>
            <w:gridSpan w:val="2"/>
            <w:tcBorders/>
            <w:vAlign w:val="center"/>
          </w:tcPr>
          <w:p>
            <w:pPr>
              <w:pStyle w:val="TableContents"/>
              <w:bidi w:val="0"/>
              <w:spacing w:before="0" w:after="283"/>
              <w:jc w:val="left"/>
              <w:rPr>
                <w:sz w:val="4"/>
                <w:szCs w:val="4"/>
              </w:rPr>
            </w:pPr>
            <w:r>
              <w:rPr>
                <w:sz w:val="4"/>
                <w:szCs w:val="4"/>
              </w:rPr>
            </w:r>
          </w:p>
        </w:tc>
        <w:tc>
          <w:tcPr>
            <w:tcW w:w="230" w:type="dxa"/>
            <w:gridSpan w:val="2"/>
            <w:tcBorders/>
            <w:vAlign w:val="center"/>
          </w:tcPr>
          <w:p>
            <w:pPr>
              <w:pStyle w:val="TableContents"/>
              <w:bidi w:val="0"/>
              <w:spacing w:before="0" w:after="283"/>
              <w:jc w:val="left"/>
              <w:rPr>
                <w:sz w:val="4"/>
                <w:szCs w:val="4"/>
              </w:rPr>
            </w:pPr>
            <w:r>
              <w:rPr>
                <w:sz w:val="4"/>
                <w:szCs w:val="4"/>
              </w:rPr>
            </w:r>
          </w:p>
        </w:tc>
        <w:tc>
          <w:tcPr>
            <w:tcW w:w="4242"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bottom w:val="single" w:sz="8" w:space="0" w:color="A41F35"/>
            </w:tcBorders>
            <w:tcMar>
              <w:bottom w:w="40" w:type="dxa"/>
            </w:tcMar>
            <w:vAlign w:val="center"/>
          </w:tcPr>
          <w:p>
            <w:pPr>
              <w:pStyle w:val="TableContents"/>
              <w:bidi w:val="0"/>
              <w:spacing w:before="0" w:after="0"/>
              <w:jc w:val="center"/>
              <w:rPr/>
            </w:pPr>
            <w:r>
              <w:rPr/>
              <w:t>✔</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5443" w:type="dxa"/>
            <w:tcBorders>
              <w:bottom w:val="single" w:sz="8" w:space="0" w:color="A41F35"/>
            </w:tcBorders>
            <w:tcMar>
              <w:bottom w:w="40" w:type="dxa"/>
            </w:tcMar>
            <w:vAlign w:val="center"/>
          </w:tcPr>
          <w:p>
            <w:pPr>
              <w:pStyle w:val="TableContents"/>
              <w:bidi w:val="0"/>
              <w:spacing w:before="0" w:after="283"/>
              <w:jc w:val="left"/>
              <w:rPr/>
            </w:pPr>
            <w:r>
              <w:rPr/>
              <w:t>Conduct an annual compensation risk assessment</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170" w:type="dxa"/>
            <w:tcBorders>
              <w:bottom w:val="single" w:sz="8" w:space="0" w:color="A41F35"/>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4122" w:type="dxa"/>
            <w:tcBorders>
              <w:bottom w:val="single" w:sz="8" w:space="0" w:color="A41F35"/>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22</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bookmarkStart w:id="20" w:name="toc803709_18"/>
      <w:bookmarkEnd w:id="20"/>
      <w:r>
        <w:rPr>
          <w:rFonts w:ascii="arial" w:hAnsi="arial"/>
          <w:b/>
          <w:color w:val="A41F35"/>
          <w:sz w:val="28"/>
        </w:rPr>
        <w:t xml:space="preserve">What Guides Our Program </w:t>
      </w:r>
    </w:p>
    <w:p>
      <w:pPr>
        <w:pStyle w:val="TextBody"/>
        <w:bidi w:val="0"/>
        <w:spacing w:before="120" w:after="0"/>
        <w:jc w:val="left"/>
        <w:rPr>
          <w:rFonts w:ascii="arial" w:hAnsi="arial"/>
          <w:b/>
          <w:color w:val="A41F35"/>
          <w:sz w:val="28"/>
        </w:rPr>
      </w:pPr>
      <w:r>
        <w:rPr>
          <w:rFonts w:ascii="arial" w:hAnsi="arial"/>
          <w:b/>
          <w:color w:val="A41F35"/>
          <w:sz w:val="28"/>
        </w:rPr>
        <w:t xml:space="preserve">Executive Compensation Philosophy &amp; Objectives </w:t>
      </w:r>
    </w:p>
    <w:p>
      <w:pPr>
        <w:pStyle w:val="TextBody"/>
        <w:bidi w:val="0"/>
        <w:spacing w:before="120" w:after="0"/>
        <w:jc w:val="left"/>
        <w:rPr>
          <w:rFonts w:ascii="arial" w:hAnsi="arial"/>
          <w:sz w:val="18"/>
        </w:rPr>
      </w:pPr>
      <w:r>
        <w:rPr>
          <w:rFonts w:ascii="arial" w:hAnsi="arial"/>
          <w:sz w:val="18"/>
        </w:rPr>
        <w:t xml:space="preserve">To accomplish our business and growth objectives, we must be able to attract and retain talented executives whose skills and experience enable them to contribute to our long-term success. To that end, the philosophy and principal objectives of our executive compensation program are to attract, fairly compensate, appropriately incentivize, and retain superior executive talent in a manner that aligns their long-term interests with those of our shareholders. Our executive compensation program is designed to be: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Competitively Positioned</w:t>
            </w:r>
            <w:r>
              <w:rPr>
                <w:rFonts w:ascii="arial" w:hAnsi="arial"/>
                <w:sz w:val="18"/>
              </w:rPr>
              <w:t xml:space="preserve">: Target compensation should be competitive with that being offered to individuals in comparable roles at other companies with which we compete for talent to ensure that we attract and retain the best people to lead our success. Our Compensation Committee generally targets the median of the market for target compensation opportunities but can set compensation for executives above or below that level based on factors such as individual and Company performance, an executive’s role and responsibilities relative to executives in similar positions in the market, and an executive’s actual and potential impact on the successful execution of our strategy, among others.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Performance-Driven and Shareholder-Aligned</w:t>
            </w:r>
            <w:r>
              <w:rPr>
                <w:rFonts w:ascii="arial" w:hAnsi="arial"/>
                <w:sz w:val="18"/>
              </w:rPr>
              <w:t xml:space="preserve">: A meaningful portion of total compensation should be variable and linked to the achievement of specific short- and long-term performance objectives and designed to drive shareholder value creation.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Responsibly Governed</w:t>
            </w:r>
            <w:r>
              <w:rPr>
                <w:rFonts w:ascii="arial" w:hAnsi="arial"/>
                <w:sz w:val="18"/>
              </w:rPr>
              <w:t xml:space="preserve">: Decisions about compensation should be guided by best-practice governance standards and rigorous processes that encourage prudent decision-making.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Elements of Pay: Total Direct Compensation </w:t>
      </w:r>
    </w:p>
    <w:p>
      <w:pPr>
        <w:pStyle w:val="TextBody"/>
        <w:bidi w:val="0"/>
        <w:spacing w:before="120" w:after="0"/>
        <w:jc w:val="left"/>
        <w:rPr>
          <w:rFonts w:ascii="arial" w:hAnsi="arial"/>
          <w:sz w:val="18"/>
        </w:rPr>
      </w:pPr>
      <w:r>
        <w:rPr>
          <w:rFonts w:ascii="arial" w:hAnsi="arial"/>
          <w:sz w:val="18"/>
        </w:rPr>
        <w:t xml:space="preserve">To support our philosophy and achieve our objectives, our Compensation Committee analyzes each of the following elements of compensation against comparative market data and generally seeks to position each element around the market median, while differentiating individual compensation based on experience, role, position, individual performance, and other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5"/>
        <w:gridCol w:w="120"/>
        <w:gridCol w:w="1509"/>
        <w:gridCol w:w="120"/>
        <w:gridCol w:w="6081"/>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81" w:type="dxa"/>
            <w:tcBorders/>
            <w:vAlign w:val="center"/>
          </w:tcPr>
          <w:p>
            <w:pPr>
              <w:pStyle w:val="TableContents"/>
              <w:bidi w:val="0"/>
              <w:spacing w:before="0" w:after="283"/>
              <w:jc w:val="left"/>
              <w:rPr>
                <w:sz w:val="4"/>
                <w:szCs w:val="4"/>
              </w:rPr>
            </w:pPr>
            <w:r>
              <w:rPr>
                <w:sz w:val="4"/>
                <w:szCs w:val="4"/>
              </w:rPr>
            </w:r>
          </w:p>
        </w:tc>
      </w:tr>
      <w:tr>
        <w:trPr/>
        <w:tc>
          <w:tcPr>
            <w:tcW w:w="237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Pay Element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09" w:type="dxa"/>
            <w:tcBorders>
              <w:bottom w:val="single" w:sz="16" w:space="0" w:color="A41F35"/>
            </w:tcBorders>
            <w:tcMar>
              <w:bottom w:w="40" w:type="dxa"/>
            </w:tcMar>
            <w:vAlign w:val="center"/>
          </w:tcPr>
          <w:p>
            <w:pPr>
              <w:pStyle w:val="TableContents"/>
              <w:bidi w:val="0"/>
              <w:spacing w:before="0" w:after="283"/>
              <w:jc w:val="left"/>
              <w:rPr>
                <w:b/>
              </w:rPr>
            </w:pPr>
            <w:r>
              <w:rPr>
                <w:b/>
              </w:rPr>
              <w:t>How It’s Paid</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081" w:type="dxa"/>
            <w:tcBorders>
              <w:bottom w:val="single" w:sz="16" w:space="0" w:color="A41F35"/>
            </w:tcBorders>
            <w:tcMar>
              <w:bottom w:w="40" w:type="dxa"/>
            </w:tcMar>
            <w:vAlign w:val="center"/>
          </w:tcPr>
          <w:p>
            <w:pPr>
              <w:pStyle w:val="TableContents"/>
              <w:bidi w:val="0"/>
              <w:spacing w:before="0" w:after="283"/>
              <w:jc w:val="left"/>
              <w:rPr>
                <w:b/>
              </w:rPr>
            </w:pPr>
            <w:r>
              <w:rPr>
                <w:b/>
              </w:rPr>
              <w:t>Purpose</w:t>
            </w:r>
          </w:p>
        </w:tc>
      </w:tr>
      <w:tr>
        <w:trPr/>
        <w:tc>
          <w:tcPr>
            <w:tcW w:w="2375" w:type="dxa"/>
            <w:tcBorders/>
            <w:shd w:fill="EFECE8" w:val="clear"/>
            <w:vAlign w:val="center"/>
          </w:tcPr>
          <w:p>
            <w:pPr>
              <w:pStyle w:val="TableContents"/>
              <w:bidi w:val="0"/>
              <w:spacing w:before="0" w:after="283"/>
              <w:jc w:val="left"/>
              <w:rPr>
                <w:sz w:val="4"/>
                <w:szCs w:val="4"/>
              </w:rPr>
            </w:pPr>
            <w:r>
              <w:rPr>
                <w:sz w:val="4"/>
                <w:szCs w:val="4"/>
              </w:rPr>
            </w:r>
          </w:p>
        </w:tc>
        <w:tc>
          <w:tcPr>
            <w:tcW w:w="1629" w:type="dxa"/>
            <w:gridSpan w:val="2"/>
            <w:tcBorders/>
            <w:shd w:fill="EFECE8" w:val="clear"/>
            <w:vAlign w:val="center"/>
          </w:tcPr>
          <w:p>
            <w:pPr>
              <w:pStyle w:val="TableContents"/>
              <w:bidi w:val="0"/>
              <w:spacing w:before="0" w:after="283"/>
              <w:jc w:val="left"/>
              <w:rPr>
                <w:sz w:val="4"/>
                <w:szCs w:val="4"/>
              </w:rPr>
            </w:pPr>
            <w:r>
              <w:rPr>
                <w:sz w:val="4"/>
                <w:szCs w:val="4"/>
              </w:rPr>
            </w:r>
          </w:p>
        </w:tc>
        <w:tc>
          <w:tcPr>
            <w:tcW w:w="6201"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375" w:type="dxa"/>
            <w:tcBorders/>
            <w:shd w:fill="EFECE8" w:val="clear"/>
            <w:vAlign w:val="center"/>
          </w:tcPr>
          <w:p>
            <w:pPr>
              <w:pStyle w:val="TableContents"/>
              <w:bidi w:val="0"/>
              <w:spacing w:before="0" w:after="0"/>
              <w:jc w:val="left"/>
              <w:rPr>
                <w:rFonts w:ascii="arial" w:hAnsi="arial"/>
                <w:sz w:val="18"/>
              </w:rPr>
            </w:pPr>
            <w:r>
              <w:rPr>
                <w:rFonts w:ascii="arial" w:hAnsi="arial"/>
                <w:sz w:val="18"/>
              </w:rPr>
              <w:t>Base Salary</w:t>
            </w:r>
          </w:p>
        </w:tc>
        <w:tc>
          <w:tcPr>
            <w:tcW w:w="120" w:type="dxa"/>
            <w:tcBorders/>
            <w:shd w:fill="EFECE8" w:val="clear"/>
            <w:vAlign w:val="center"/>
          </w:tcPr>
          <w:p>
            <w:pPr>
              <w:pStyle w:val="TableContents"/>
              <w:bidi w:val="0"/>
              <w:spacing w:before="0" w:after="283"/>
              <w:jc w:val="left"/>
              <w:rPr/>
            </w:pPr>
            <w:r>
              <w:rPr/>
              <w:t>  </w:t>
            </w:r>
          </w:p>
        </w:tc>
        <w:tc>
          <w:tcPr>
            <w:tcW w:w="1509" w:type="dxa"/>
            <w:tcBorders/>
            <w:shd w:fill="EFECE8" w:val="clear"/>
            <w:vAlign w:val="center"/>
          </w:tcPr>
          <w:p>
            <w:pPr>
              <w:pStyle w:val="TableContents"/>
              <w:bidi w:val="0"/>
              <w:spacing w:before="0" w:after="283"/>
              <w:jc w:val="left"/>
              <w:rPr/>
            </w:pPr>
            <w:r>
              <w:rPr/>
              <w:t>Cash (Fixed)</w:t>
            </w:r>
          </w:p>
        </w:tc>
        <w:tc>
          <w:tcPr>
            <w:tcW w:w="120" w:type="dxa"/>
            <w:tcBorders/>
            <w:shd w:fill="EFECE8" w:val="clear"/>
            <w:vAlign w:val="center"/>
          </w:tcPr>
          <w:p>
            <w:pPr>
              <w:pStyle w:val="TableContents"/>
              <w:bidi w:val="0"/>
              <w:spacing w:before="0" w:after="283"/>
              <w:jc w:val="left"/>
              <w:rPr/>
            </w:pPr>
            <w:r>
              <w:rPr/>
              <w:t>  </w:t>
            </w:r>
          </w:p>
        </w:tc>
        <w:tc>
          <w:tcPr>
            <w:tcW w:w="6081" w:type="dxa"/>
            <w:tcBorders/>
            <w:shd w:fill="EFECE8" w:val="clear"/>
            <w:vAlign w:val="center"/>
          </w:tcPr>
          <w:p>
            <w:pPr>
              <w:pStyle w:val="TableContents"/>
              <w:bidi w:val="0"/>
              <w:spacing w:before="0" w:after="283"/>
              <w:jc w:val="left"/>
              <w:rPr/>
            </w:pPr>
            <w:r>
              <w:rPr/>
              <w:t>Provide a competitive base salary rate relative to similar positions in the market and enable us to attract and retain critical executive talent.</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1629" w:type="dxa"/>
            <w:gridSpan w:val="2"/>
            <w:tcBorders/>
            <w:vAlign w:val="center"/>
          </w:tcPr>
          <w:p>
            <w:pPr>
              <w:pStyle w:val="TableContents"/>
              <w:bidi w:val="0"/>
              <w:spacing w:before="0" w:after="283"/>
              <w:jc w:val="left"/>
              <w:rPr>
                <w:sz w:val="4"/>
                <w:szCs w:val="4"/>
              </w:rPr>
            </w:pPr>
            <w:r>
              <w:rPr>
                <w:sz w:val="4"/>
                <w:szCs w:val="4"/>
              </w:rPr>
            </w:r>
          </w:p>
        </w:tc>
        <w:tc>
          <w:tcPr>
            <w:tcW w:w="6201"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0"/>
              <w:jc w:val="left"/>
              <w:rPr>
                <w:rFonts w:ascii="arial" w:hAnsi="arial"/>
                <w:sz w:val="18"/>
              </w:rPr>
            </w:pPr>
            <w:r>
              <w:rPr>
                <w:rFonts w:ascii="arial" w:hAnsi="arial"/>
                <w:sz w:val="18"/>
              </w:rPr>
              <w:t>Annual Bonuses</w:t>
            </w:r>
          </w:p>
        </w:tc>
        <w:tc>
          <w:tcPr>
            <w:tcW w:w="120"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left"/>
              <w:rPr/>
            </w:pPr>
            <w:r>
              <w:rPr/>
              <w:t>Cash (Variable)</w:t>
            </w:r>
          </w:p>
        </w:tc>
        <w:tc>
          <w:tcPr>
            <w:tcW w:w="120" w:type="dxa"/>
            <w:tcBorders/>
            <w:vAlign w:val="center"/>
          </w:tcPr>
          <w:p>
            <w:pPr>
              <w:pStyle w:val="TableContents"/>
              <w:bidi w:val="0"/>
              <w:spacing w:before="0" w:after="283"/>
              <w:jc w:val="left"/>
              <w:rPr/>
            </w:pPr>
            <w:r>
              <w:rPr/>
              <w:t>  </w:t>
            </w:r>
          </w:p>
        </w:tc>
        <w:tc>
          <w:tcPr>
            <w:tcW w:w="6081" w:type="dxa"/>
            <w:tcBorders/>
            <w:vAlign w:val="center"/>
          </w:tcPr>
          <w:p>
            <w:pPr>
              <w:pStyle w:val="TableContents"/>
              <w:bidi w:val="0"/>
              <w:spacing w:before="0" w:after="283"/>
              <w:jc w:val="left"/>
              <w:rPr/>
            </w:pPr>
            <w:r>
              <w:rPr/>
              <w:t>Tie a significant portion of our executives’ cash compensation opportunities to the attainment of performance goals that we believe will help us attain short- and long-term business objectives.</w:t>
            </w:r>
          </w:p>
        </w:tc>
      </w:tr>
      <w:tr>
        <w:trPr/>
        <w:tc>
          <w:tcPr>
            <w:tcW w:w="2375" w:type="dxa"/>
            <w:tcBorders/>
            <w:shd w:fill="EFECE8" w:val="clear"/>
            <w:vAlign w:val="center"/>
          </w:tcPr>
          <w:p>
            <w:pPr>
              <w:pStyle w:val="TableContents"/>
              <w:bidi w:val="0"/>
              <w:spacing w:before="0" w:after="283"/>
              <w:jc w:val="left"/>
              <w:rPr>
                <w:sz w:val="4"/>
                <w:szCs w:val="4"/>
              </w:rPr>
            </w:pPr>
            <w:r>
              <w:rPr>
                <w:sz w:val="4"/>
                <w:szCs w:val="4"/>
              </w:rPr>
            </w:r>
          </w:p>
        </w:tc>
        <w:tc>
          <w:tcPr>
            <w:tcW w:w="1629" w:type="dxa"/>
            <w:gridSpan w:val="2"/>
            <w:tcBorders/>
            <w:shd w:fill="EFECE8" w:val="clear"/>
            <w:vAlign w:val="center"/>
          </w:tcPr>
          <w:p>
            <w:pPr>
              <w:pStyle w:val="TableContents"/>
              <w:bidi w:val="0"/>
              <w:spacing w:before="0" w:after="283"/>
              <w:jc w:val="left"/>
              <w:rPr>
                <w:sz w:val="4"/>
                <w:szCs w:val="4"/>
              </w:rPr>
            </w:pPr>
            <w:r>
              <w:rPr>
                <w:sz w:val="4"/>
                <w:szCs w:val="4"/>
              </w:rPr>
            </w:r>
          </w:p>
        </w:tc>
        <w:tc>
          <w:tcPr>
            <w:tcW w:w="6201"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37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Equity-Based Compensation</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509" w:type="dxa"/>
            <w:tcBorders>
              <w:bottom w:val="single" w:sz="8" w:space="0" w:color="A41F35"/>
            </w:tcBorders>
            <w:shd w:fill="EFECE8" w:val="clear"/>
            <w:tcMar>
              <w:bottom w:w="40" w:type="dxa"/>
            </w:tcMar>
            <w:vAlign w:val="center"/>
          </w:tcPr>
          <w:p>
            <w:pPr>
              <w:pStyle w:val="TableContents"/>
              <w:bidi w:val="0"/>
              <w:spacing w:before="0" w:after="283"/>
              <w:jc w:val="left"/>
              <w:rPr/>
            </w:pPr>
            <w:r>
              <w:rPr/>
              <w:t>Equity (Variable)</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81" w:type="dxa"/>
            <w:tcBorders>
              <w:bottom w:val="single" w:sz="8" w:space="0" w:color="A41F35"/>
            </w:tcBorders>
            <w:shd w:fill="EFECE8" w:val="clear"/>
            <w:tcMar>
              <w:bottom w:w="40" w:type="dxa"/>
            </w:tcMar>
            <w:vAlign w:val="center"/>
          </w:tcPr>
          <w:p>
            <w:pPr>
              <w:pStyle w:val="TableContents"/>
              <w:bidi w:val="0"/>
              <w:spacing w:before="0" w:after="283"/>
              <w:jc w:val="left"/>
              <w:rPr/>
            </w:pPr>
            <w:r>
              <w:rPr/>
              <w:t>Provide incentives for executives to execute on longer-term financial goals that drive the creation of shareholder value and also support our leadership retention objectives.</w:t>
            </w:r>
          </w:p>
        </w:tc>
      </w:tr>
    </w:tbl>
    <w:p>
      <w:pPr>
        <w:pStyle w:val="TextBody"/>
        <w:bidi w:val="0"/>
        <w:spacing w:before="360" w:after="0"/>
        <w:jc w:val="left"/>
        <w:rPr>
          <w:rFonts w:ascii="arial" w:hAnsi="arial"/>
          <w:b/>
          <w:sz w:val="20"/>
        </w:rPr>
      </w:pPr>
      <w:r>
        <w:rPr>
          <w:rFonts w:ascii="arial" w:hAnsi="arial"/>
          <w:b/>
          <w:sz w:val="20"/>
        </w:rPr>
        <w:t xml:space="preserve">2024 Target Compensation At-A-Glance (Pay Mix) </w:t>
      </w:r>
    </w:p>
    <w:p>
      <w:pPr>
        <w:pStyle w:val="TextBody"/>
        <w:bidi w:val="0"/>
        <w:spacing w:before="120" w:after="0"/>
        <w:jc w:val="left"/>
        <w:rPr>
          <w:rFonts w:ascii="arial" w:hAnsi="arial"/>
          <w:sz w:val="18"/>
        </w:rPr>
      </w:pPr>
      <w:r>
        <w:rPr>
          <w:rFonts w:ascii="arial" w:hAnsi="arial"/>
          <w:sz w:val="18"/>
        </w:rPr>
        <w:t xml:space="preserve">The structure of our 2024 executive compensation program is closely aligned with Company performance and sensitive to the Company’s stock performance. The charts below show that a significant portion of named executive officer target total compensation (consisting of base salary, target annual bonuses and equity-based compensation, based on target total grant date fair value) is variable and “at-risk.” 91% of the Chief Executive Officer’s 2024 target total compensation is performance-based with a significant portion (82%) tied to the future stock performance of the Company, and 83% of the average 2024 target total compensation for Dr. Khayal, Mr. Corcoran, and Mr. Gordon is performance-based with a significant portion (74%) tied to the future stock performance of the Company.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115435" cy="24066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1"/>
                    <a:stretch>
                      <a:fillRect/>
                    </a:stretch>
                  </pic:blipFill>
                  <pic:spPr bwMode="auto">
                    <a:xfrm>
                      <a:off x="0" y="0"/>
                      <a:ext cx="4115435" cy="240665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6"/>
              </w:rPr>
            </w:pPr>
            <w:r>
              <w:rPr>
                <w:rFonts w:ascii="arial" w:hAnsi="arial"/>
                <w:i/>
                <w:sz w:val="16"/>
              </w:rPr>
              <w:t>Excludes Mr. Hernandez, due to his hire in December 2024, and Mr. Ranganath, since he was not eligible to receive a long-term equity incentive award in 2024 due to his hire date. As a result, their 2024 compensation was not representative.</w:t>
            </w:r>
            <w:r>
              <w:rPr>
                <w:rFonts w:ascii="arial" w:hAnsi="arial"/>
                <w:sz w:val="16"/>
              </w:rPr>
              <w:t xml:space="preserve">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The Decision-Making Process </w:t>
      </w:r>
    </w:p>
    <w:p>
      <w:pPr>
        <w:pStyle w:val="TextBody"/>
        <w:bidi w:val="0"/>
        <w:spacing w:before="120" w:after="0"/>
        <w:jc w:val="left"/>
        <w:rPr>
          <w:rFonts w:ascii="arial" w:hAnsi="arial"/>
          <w:b/>
          <w:sz w:val="20"/>
        </w:rPr>
      </w:pPr>
      <w:r>
        <w:rPr>
          <w:rFonts w:ascii="arial" w:hAnsi="arial"/>
          <w:b/>
          <w:sz w:val="20"/>
        </w:rPr>
        <w:t xml:space="preserve">Compensation Committee </w:t>
      </w:r>
    </w:p>
    <w:p>
      <w:pPr>
        <w:pStyle w:val="TextBody"/>
        <w:bidi w:val="0"/>
        <w:spacing w:before="120" w:after="0"/>
        <w:jc w:val="left"/>
        <w:rPr>
          <w:rFonts w:ascii="arial" w:hAnsi="arial"/>
          <w:sz w:val="18"/>
        </w:rPr>
      </w:pPr>
      <w:r>
        <w:rPr>
          <w:rFonts w:ascii="arial" w:hAnsi="arial"/>
          <w:sz w:val="18"/>
        </w:rPr>
        <w:t xml:space="preserve">Our Compensation Committee oversees our executive compensation program and administers our cash and equity incentive plans. Our Compensation Committee reviews and approves the compensation of our Chief Executive Officer and other executives, including the type and amount of each element of compensation and the performance goals applicable to incentive compensation. As described below, our Compensation Committee also works with members of management and obtains advice from an independent compensation consultant in the course of making its compensation decisions. </w:t>
      </w:r>
    </w:p>
    <w:p>
      <w:pPr>
        <w:pStyle w:val="TextBody"/>
        <w:bidi w:val="0"/>
        <w:spacing w:before="360" w:after="0"/>
        <w:jc w:val="left"/>
        <w:rPr>
          <w:rFonts w:ascii="arial" w:hAnsi="arial"/>
          <w:b/>
          <w:sz w:val="20"/>
        </w:rPr>
      </w:pPr>
      <w:r>
        <w:rPr>
          <w:rFonts w:ascii="arial" w:hAnsi="arial"/>
          <w:b/>
          <w:sz w:val="20"/>
        </w:rPr>
        <w:t xml:space="preserve">The Role of Management </w:t>
      </w:r>
    </w:p>
    <w:p>
      <w:pPr>
        <w:pStyle w:val="TextBody"/>
        <w:bidi w:val="0"/>
        <w:spacing w:before="120" w:after="0"/>
        <w:jc w:val="left"/>
        <w:rPr>
          <w:rFonts w:ascii="arial" w:hAnsi="arial"/>
          <w:sz w:val="18"/>
        </w:rPr>
      </w:pPr>
      <w:r>
        <w:rPr>
          <w:rFonts w:ascii="arial" w:hAnsi="arial"/>
          <w:sz w:val="18"/>
        </w:rPr>
        <w:t xml:space="preserve">Our Chief Executive Officer, Chief Financial Officer, and Senior Vice President of Human Resources, working with internal resources as well as with our Compensation Committee’s compensation consultant, review our executive compensation program on an annual basis and make recommendations as to the type and amount of compensation based on its review of peer group and other market data, individual performance and other factors. Our Chief Executive Officer makes recommendations to our Compensation Committee regarding the compensation of our executives other than himself based on these same factors. Our Chief Executive Officer, Chief Financial Officer, Senior Vice President, General Counsel &amp; Corporate Secretary, and Senior Vice President of Human Resources typically attend meetings of our Compensation Committee but do not participate in any discussions regarding their own compensation. </w:t>
      </w:r>
    </w:p>
    <w:p>
      <w:pPr>
        <w:pStyle w:val="TextBody"/>
        <w:bidi w:val="0"/>
        <w:spacing w:before="360" w:after="0"/>
        <w:jc w:val="left"/>
        <w:rPr>
          <w:rFonts w:ascii="arial" w:hAnsi="arial"/>
          <w:b/>
          <w:sz w:val="20"/>
        </w:rPr>
      </w:pPr>
      <w:r>
        <w:rPr>
          <w:rFonts w:ascii="arial" w:hAnsi="arial"/>
          <w:b/>
          <w:sz w:val="20"/>
        </w:rPr>
        <w:t xml:space="preserve">Independent Compensation Consultant </w:t>
      </w:r>
    </w:p>
    <w:p>
      <w:pPr>
        <w:pStyle w:val="TextBody"/>
        <w:bidi w:val="0"/>
        <w:spacing w:before="120" w:after="0"/>
        <w:jc w:val="left"/>
        <w:rPr>
          <w:rFonts w:ascii="arial" w:hAnsi="arial"/>
          <w:sz w:val="18"/>
        </w:rPr>
      </w:pPr>
      <w:r>
        <w:rPr>
          <w:rFonts w:ascii="arial" w:hAnsi="arial"/>
          <w:sz w:val="18"/>
        </w:rPr>
        <w:t xml:space="preserve">The Compensation Committee believes that independent advice is important in developing and overseeing our executive compensation program. The Compensation Committee has engaged Pearl Meyer to provide consulting services in relation to executive and director compensation decisions. Pearl Meyer reports directly to the Compensation Committee and only provides services to us on such matters as needed and as directed solely by the Compensation Committee. These services include providing guidance on trends in CEO, executive, and non-employee director compensation; the development of the specific components of our executive compensation program; and a competitive market assessment of our executive compensation program, including the composition of our compensation peer group. Our Compensation Committee has determined, based on its analysis and in light of all relevant factors, that the work of Pearl Meyer has not created any conflicts of interest, and that Pearl Meyer is independent pursuant to the independence standards set forth in the Nasdaq listing standards promulgated pursuant to Section 10C of the Exchange Act.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24</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Use of Peer Group and Market Data </w:t>
      </w:r>
    </w:p>
    <w:p>
      <w:pPr>
        <w:pStyle w:val="TextBody"/>
        <w:bidi w:val="0"/>
        <w:spacing w:before="120" w:after="0"/>
        <w:jc w:val="left"/>
        <w:rPr>
          <w:rFonts w:ascii="arial" w:hAnsi="arial"/>
          <w:sz w:val="18"/>
        </w:rPr>
      </w:pPr>
      <w:r>
        <w:rPr>
          <w:rFonts w:ascii="arial" w:hAnsi="arial"/>
          <w:i/>
          <w:sz w:val="18"/>
        </w:rPr>
        <w:t>2024 Compensation Peer Group.</w:t>
      </w:r>
      <w:r>
        <w:rPr>
          <w:rFonts w:ascii="arial" w:hAnsi="arial"/>
          <w:sz w:val="18"/>
        </w:rPr>
        <w:t xml:space="preserve"> Our Compensation Committee uses peer group and other market data as a reference point to gauge the reasonableness of our executive compensation decisions and the general competitiveness of our executive compensation program in the market and to assist it in determining the type and amount of compensation that we pay. For purposes of setting compensation levels for 2024, our Compensation Committee, working in consultation with Pearl Meyer, selected companies operating in the healthcare equipment/medical device industry or the early commercial biotechnology/pharmaceutical and diagnostic industry with a comparable market capitalization (targeting companies with a market values between approximately 0.33x and 3.0x our market value) and revenue (targeting companies with revenues between approximately 0.33x and 3.0x our current/projected revenue). Our Compensation Committee also qualitatively evaluated each prospective peer group company based on business focus and corporate strategy to identify companies in a similar space, to the extent possible, and seeks to maintain year-over-year continuity in our peer group by maintaining flexibility in applying the foregoing criteria, particularly in uncertain market conditions. Based on the analysis provided by Pearl Meyer, the Compensation Committee approved the following changes for our 2024 peer group, compared to the 2023 peer group, to better align the peer group with the Company’s valuation and growth trajectory: </w:t>
      </w:r>
    </w:p>
    <w:p>
      <w:pPr>
        <w:pStyle w:val="TextBody"/>
        <w:bidi w:val="0"/>
        <w:spacing w:before="0" w:after="0"/>
        <w:jc w:val="left"/>
        <w:rPr/>
      </w:pPr>
      <w:r>
        <w:rPr/>
        <w:t> </w:t>
      </w:r>
    </w:p>
    <w:tbl>
      <w:tblPr>
        <w:tblW w:w="7261" w:type="dxa"/>
        <w:jc w:val="left"/>
        <w:tblInd w:w="0" w:type="dxa"/>
        <w:tblLayout w:type="fixed"/>
        <w:tblCellMar>
          <w:top w:w="0" w:type="dxa"/>
          <w:left w:w="0" w:type="dxa"/>
          <w:bottom w:w="0" w:type="dxa"/>
          <w:right w:w="0" w:type="dxa"/>
        </w:tblCellMar>
      </w:tblPr>
      <w:tblGrid>
        <w:gridCol w:w="288"/>
        <w:gridCol w:w="60"/>
        <w:gridCol w:w="3590"/>
        <w:gridCol w:w="60"/>
        <w:gridCol w:w="273"/>
        <w:gridCol w:w="120"/>
        <w:gridCol w:w="2870"/>
      </w:tblGrid>
      <w:tr>
        <w:trPr/>
        <w:tc>
          <w:tcPr>
            <w:tcW w:w="2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Additions</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3263" w:type="dxa"/>
            <w:gridSpan w:val="3"/>
            <w:tcBorders>
              <w:bottom w:val="single" w:sz="16" w:space="0" w:color="A41F35"/>
            </w:tcBorders>
            <w:tcMar>
              <w:bottom w:w="40" w:type="dxa"/>
            </w:tcMar>
            <w:vAlign w:val="center"/>
          </w:tcPr>
          <w:p>
            <w:pPr>
              <w:pStyle w:val="TableContents"/>
              <w:bidi w:val="0"/>
              <w:spacing w:before="0" w:after="283"/>
              <w:jc w:val="center"/>
              <w:rPr>
                <w:b/>
              </w:rPr>
            </w:pPr>
            <w:r>
              <w:rPr>
                <w:b/>
              </w:rPr>
              <w:t>Removals</w:t>
            </w:r>
          </w:p>
        </w:tc>
      </w:tr>
      <w:tr>
        <w:trPr/>
        <w:tc>
          <w:tcPr>
            <w:tcW w:w="288" w:type="dxa"/>
            <w:tcBorders/>
            <w:shd w:fill="EFECE8" w:val="clear"/>
            <w:vAlign w:val="center"/>
          </w:tcPr>
          <w:p>
            <w:pPr>
              <w:pStyle w:val="TableContents"/>
              <w:bidi w:val="0"/>
              <w:spacing w:before="0" w:after="283"/>
              <w:jc w:val="left"/>
              <w:rPr>
                <w:sz w:val="4"/>
                <w:szCs w:val="4"/>
              </w:rPr>
            </w:pPr>
            <w:r>
              <w:rPr>
                <w:sz w:val="4"/>
                <w:szCs w:val="4"/>
              </w:rPr>
            </w:r>
          </w:p>
        </w:tc>
        <w:tc>
          <w:tcPr>
            <w:tcW w:w="3650" w:type="dxa"/>
            <w:gridSpan w:val="2"/>
            <w:tcBorders/>
            <w:shd w:fill="EFECE8" w:val="clear"/>
            <w:vAlign w:val="center"/>
          </w:tcPr>
          <w:p>
            <w:pPr>
              <w:pStyle w:val="TableContents"/>
              <w:bidi w:val="0"/>
              <w:spacing w:before="0" w:after="283"/>
              <w:jc w:val="left"/>
              <w:rPr>
                <w:sz w:val="4"/>
                <w:szCs w:val="4"/>
              </w:rPr>
            </w:pPr>
            <w:r>
              <w:rPr>
                <w:sz w:val="4"/>
                <w:szCs w:val="4"/>
              </w:rPr>
            </w:r>
          </w:p>
        </w:tc>
        <w:tc>
          <w:tcPr>
            <w:tcW w:w="333" w:type="dxa"/>
            <w:gridSpan w:val="2"/>
            <w:tcBorders/>
            <w:shd w:fill="EFECE8" w:val="clear"/>
            <w:vAlign w:val="center"/>
          </w:tcPr>
          <w:p>
            <w:pPr>
              <w:pStyle w:val="TableContents"/>
              <w:bidi w:val="0"/>
              <w:spacing w:before="0" w:after="283"/>
              <w:jc w:val="left"/>
              <w:rPr>
                <w:sz w:val="4"/>
                <w:szCs w:val="4"/>
              </w:rPr>
            </w:pPr>
            <w:r>
              <w:rPr>
                <w:sz w:val="4"/>
                <w:szCs w:val="4"/>
              </w:rPr>
            </w:r>
          </w:p>
        </w:tc>
        <w:tc>
          <w:tcPr>
            <w:tcW w:w="299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88" w:type="dxa"/>
            <w:tcBorders/>
            <w:shd w:fill="EFECE8" w:val="clear"/>
            <w:vAlign w:val="center"/>
          </w:tcPr>
          <w:p>
            <w:pPr>
              <w:pStyle w:val="TableContents"/>
              <w:bidi w:val="0"/>
              <w:spacing w:before="0" w:after="0"/>
              <w:jc w:val="center"/>
              <w:rPr/>
            </w:pPr>
            <w:r>
              <w:rPr/>
              <w:drawing>
                <wp:inline distT="0" distB="0" distL="0" distR="0">
                  <wp:extent cx="135255" cy="13525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2"/>
                          <a:stretch>
                            <a:fillRect/>
                          </a:stretch>
                        </pic:blipFill>
                        <pic:spPr bwMode="auto">
                          <a:xfrm>
                            <a:off x="0" y="0"/>
                            <a:ext cx="135255" cy="135255"/>
                          </a:xfrm>
                          <a:prstGeom prst="rect">
                            <a:avLst/>
                          </a:prstGeom>
                        </pic:spPr>
                      </pic:pic>
                    </a:graphicData>
                  </a:graphic>
                </wp:inline>
              </w:drawing>
            </w:r>
            <w:r>
              <w:rPr/>
              <w:t xml:space="preserve"> </w:t>
            </w:r>
          </w:p>
        </w:tc>
        <w:tc>
          <w:tcPr>
            <w:tcW w:w="60" w:type="dxa"/>
            <w:tcBorders/>
            <w:shd w:fill="EFECE8" w:val="clear"/>
            <w:vAlign w:val="center"/>
          </w:tcPr>
          <w:p>
            <w:pPr>
              <w:pStyle w:val="TableContents"/>
              <w:bidi w:val="0"/>
              <w:spacing w:before="0" w:after="283"/>
              <w:jc w:val="left"/>
              <w:rPr/>
            </w:pPr>
            <w:r>
              <w:rPr/>
              <w:t> </w:t>
            </w:r>
          </w:p>
        </w:tc>
        <w:tc>
          <w:tcPr>
            <w:tcW w:w="3590" w:type="dxa"/>
            <w:tcBorders/>
            <w:shd w:fill="EFECE8" w:val="clear"/>
            <w:vAlign w:val="center"/>
          </w:tcPr>
          <w:p>
            <w:pPr>
              <w:pStyle w:val="TableContents"/>
              <w:bidi w:val="0"/>
              <w:spacing w:before="0" w:after="283"/>
              <w:jc w:val="left"/>
              <w:rPr/>
            </w:pPr>
            <w:r>
              <w:rPr/>
              <w:t>Inari Medical, Inc.</w:t>
            </w:r>
          </w:p>
        </w:tc>
        <w:tc>
          <w:tcPr>
            <w:tcW w:w="60" w:type="dxa"/>
            <w:tcBorders/>
            <w:shd w:fill="EFECE8" w:val="clear"/>
            <w:vAlign w:val="center"/>
          </w:tcPr>
          <w:p>
            <w:pPr>
              <w:pStyle w:val="TableContents"/>
              <w:bidi w:val="0"/>
              <w:spacing w:before="0" w:after="283"/>
              <w:jc w:val="left"/>
              <w:rPr/>
            </w:pPr>
            <w:r>
              <w:rPr/>
              <w:t> </w:t>
            </w:r>
          </w:p>
        </w:tc>
        <w:tc>
          <w:tcPr>
            <w:tcW w:w="273" w:type="dxa"/>
            <w:tcBorders/>
            <w:shd w:fill="EFECE8" w:val="clear"/>
            <w:vAlign w:val="center"/>
          </w:tcPr>
          <w:p>
            <w:pPr>
              <w:pStyle w:val="TableContents"/>
              <w:bidi w:val="0"/>
              <w:spacing w:before="0" w:after="283"/>
              <w:jc w:val="center"/>
              <w:rPr/>
            </w:pPr>
            <w:r>
              <w:rPr/>
              <w:drawing>
                <wp:inline distT="0" distB="0" distL="0" distR="0">
                  <wp:extent cx="135255" cy="13525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3"/>
                          <a:stretch>
                            <a:fillRect/>
                          </a:stretch>
                        </pic:blipFill>
                        <pic:spPr bwMode="auto">
                          <a:xfrm>
                            <a:off x="0" y="0"/>
                            <a:ext cx="135255" cy="135255"/>
                          </a:xfrm>
                          <a:prstGeom prst="rect">
                            <a:avLst/>
                          </a:prstGeom>
                        </pic:spPr>
                      </pic:pic>
                    </a:graphicData>
                  </a:graphic>
                </wp:inline>
              </w:drawing>
            </w:r>
            <w:r>
              <w:rPr/>
              <w:t xml:space="preserve"> </w:t>
            </w:r>
          </w:p>
        </w:tc>
        <w:tc>
          <w:tcPr>
            <w:tcW w:w="120" w:type="dxa"/>
            <w:tcBorders/>
            <w:shd w:fill="EFECE8" w:val="clear"/>
            <w:vAlign w:val="center"/>
          </w:tcPr>
          <w:p>
            <w:pPr>
              <w:pStyle w:val="TableContents"/>
              <w:bidi w:val="0"/>
              <w:spacing w:before="0" w:after="283"/>
              <w:jc w:val="left"/>
              <w:rPr/>
            </w:pPr>
            <w:r>
              <w:rPr/>
              <w:t>  </w:t>
            </w:r>
          </w:p>
        </w:tc>
        <w:tc>
          <w:tcPr>
            <w:tcW w:w="2870" w:type="dxa"/>
            <w:tcBorders/>
            <w:shd w:fill="EFECE8" w:val="clear"/>
            <w:vAlign w:val="center"/>
          </w:tcPr>
          <w:p>
            <w:pPr>
              <w:pStyle w:val="TableContents"/>
              <w:bidi w:val="0"/>
              <w:spacing w:before="0" w:after="283"/>
              <w:jc w:val="left"/>
              <w:rPr/>
            </w:pPr>
            <w:r>
              <w:rPr/>
              <w:t>BioLife Solutions, Inc.</w:t>
            </w:r>
          </w:p>
        </w:tc>
      </w:tr>
      <w:tr>
        <w:trPr/>
        <w:tc>
          <w:tcPr>
            <w:tcW w:w="288"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c>
          <w:tcPr>
            <w:tcW w:w="333" w:type="dxa"/>
            <w:gridSpan w:val="2"/>
            <w:tcBorders/>
            <w:vAlign w:val="center"/>
          </w:tcPr>
          <w:p>
            <w:pPr>
              <w:pStyle w:val="TableContents"/>
              <w:bidi w:val="0"/>
              <w:spacing w:before="0" w:after="283"/>
              <w:jc w:val="left"/>
              <w:rPr>
                <w:sz w:val="4"/>
                <w:szCs w:val="4"/>
              </w:rPr>
            </w:pPr>
            <w:r>
              <w:rPr>
                <w:sz w:val="4"/>
                <w:szCs w:val="4"/>
              </w:rPr>
            </w:r>
          </w:p>
        </w:tc>
        <w:tc>
          <w:tcPr>
            <w:tcW w:w="299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0"/>
              <w:jc w:val="center"/>
              <w:rPr/>
            </w:pPr>
            <w:r>
              <w:rPr/>
              <w:drawing>
                <wp:inline distT="0" distB="0" distL="0" distR="0">
                  <wp:extent cx="121920" cy="12192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4"/>
                          <a:stretch>
                            <a:fillRect/>
                          </a:stretch>
                        </pic:blipFill>
                        <pic:spPr bwMode="auto">
                          <a:xfrm>
                            <a:off x="0" y="0"/>
                            <a:ext cx="121920" cy="1219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iRhythm Technologies, Inc.</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center"/>
              <w:rPr/>
            </w:pPr>
            <w:r>
              <w:rPr/>
              <w:drawing>
                <wp:inline distT="0" distB="0" distL="0" distR="0">
                  <wp:extent cx="121920" cy="12192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5"/>
                          <a:stretch>
                            <a:fillRect/>
                          </a:stretch>
                        </pic:blipFill>
                        <pic:spPr bwMode="auto">
                          <a:xfrm>
                            <a:off x="0" y="0"/>
                            <a:ext cx="121920" cy="1219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Butterfly Network, Inc.</w:t>
            </w:r>
          </w:p>
        </w:tc>
      </w:tr>
      <w:tr>
        <w:trPr/>
        <w:tc>
          <w:tcPr>
            <w:tcW w:w="288" w:type="dxa"/>
            <w:tcBorders/>
            <w:shd w:fill="EFECE8" w:val="clear"/>
            <w:vAlign w:val="center"/>
          </w:tcPr>
          <w:p>
            <w:pPr>
              <w:pStyle w:val="TableContents"/>
              <w:bidi w:val="0"/>
              <w:spacing w:before="0" w:after="283"/>
              <w:jc w:val="left"/>
              <w:rPr>
                <w:sz w:val="4"/>
                <w:szCs w:val="4"/>
              </w:rPr>
            </w:pPr>
            <w:r>
              <w:rPr>
                <w:sz w:val="4"/>
                <w:szCs w:val="4"/>
              </w:rPr>
            </w:r>
          </w:p>
        </w:tc>
        <w:tc>
          <w:tcPr>
            <w:tcW w:w="3650" w:type="dxa"/>
            <w:gridSpan w:val="2"/>
            <w:tcBorders/>
            <w:shd w:fill="EFECE8" w:val="clear"/>
            <w:vAlign w:val="center"/>
          </w:tcPr>
          <w:p>
            <w:pPr>
              <w:pStyle w:val="TableContents"/>
              <w:bidi w:val="0"/>
              <w:spacing w:before="0" w:after="283"/>
              <w:jc w:val="left"/>
              <w:rPr>
                <w:sz w:val="4"/>
                <w:szCs w:val="4"/>
              </w:rPr>
            </w:pPr>
            <w:r>
              <w:rPr>
                <w:sz w:val="4"/>
                <w:szCs w:val="4"/>
              </w:rPr>
            </w:r>
          </w:p>
        </w:tc>
        <w:tc>
          <w:tcPr>
            <w:tcW w:w="333" w:type="dxa"/>
            <w:gridSpan w:val="2"/>
            <w:tcBorders/>
            <w:shd w:fill="EFECE8" w:val="clear"/>
            <w:vAlign w:val="center"/>
          </w:tcPr>
          <w:p>
            <w:pPr>
              <w:pStyle w:val="TableContents"/>
              <w:bidi w:val="0"/>
              <w:spacing w:before="0" w:after="283"/>
              <w:jc w:val="left"/>
              <w:rPr>
                <w:sz w:val="4"/>
                <w:szCs w:val="4"/>
              </w:rPr>
            </w:pPr>
            <w:r>
              <w:rPr>
                <w:sz w:val="4"/>
                <w:szCs w:val="4"/>
              </w:rPr>
            </w:r>
          </w:p>
        </w:tc>
        <w:tc>
          <w:tcPr>
            <w:tcW w:w="299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88" w:type="dxa"/>
            <w:tcBorders/>
            <w:shd w:fill="EFECE8" w:val="clear"/>
            <w:vAlign w:val="center"/>
          </w:tcPr>
          <w:p>
            <w:pPr>
              <w:pStyle w:val="TableContents"/>
              <w:bidi w:val="0"/>
              <w:spacing w:before="0" w:after="0"/>
              <w:jc w:val="center"/>
              <w:rPr/>
            </w:pPr>
            <w:r>
              <w:rPr/>
              <w:drawing>
                <wp:inline distT="0" distB="0" distL="0" distR="0">
                  <wp:extent cx="135255" cy="13525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6"/>
                          <a:stretch>
                            <a:fillRect/>
                          </a:stretch>
                        </pic:blipFill>
                        <pic:spPr bwMode="auto">
                          <a:xfrm>
                            <a:off x="0" y="0"/>
                            <a:ext cx="135255" cy="135255"/>
                          </a:xfrm>
                          <a:prstGeom prst="rect">
                            <a:avLst/>
                          </a:prstGeom>
                        </pic:spPr>
                      </pic:pic>
                    </a:graphicData>
                  </a:graphic>
                </wp:inline>
              </w:drawing>
            </w:r>
            <w:r>
              <w:rPr/>
              <w:t xml:space="preserve"> </w:t>
            </w:r>
          </w:p>
        </w:tc>
        <w:tc>
          <w:tcPr>
            <w:tcW w:w="60" w:type="dxa"/>
            <w:tcBorders/>
            <w:shd w:fill="EFECE8" w:val="clear"/>
            <w:vAlign w:val="center"/>
          </w:tcPr>
          <w:p>
            <w:pPr>
              <w:pStyle w:val="TableContents"/>
              <w:bidi w:val="0"/>
              <w:spacing w:before="0" w:after="283"/>
              <w:jc w:val="left"/>
              <w:rPr/>
            </w:pPr>
            <w:r>
              <w:rPr/>
              <w:t> </w:t>
            </w:r>
          </w:p>
        </w:tc>
        <w:tc>
          <w:tcPr>
            <w:tcW w:w="3590" w:type="dxa"/>
            <w:tcBorders/>
            <w:shd w:fill="EFECE8" w:val="clear"/>
            <w:vAlign w:val="center"/>
          </w:tcPr>
          <w:p>
            <w:pPr>
              <w:pStyle w:val="TableContents"/>
              <w:bidi w:val="0"/>
              <w:spacing w:before="0" w:after="283"/>
              <w:jc w:val="left"/>
              <w:rPr/>
            </w:pPr>
            <w:r>
              <w:rPr/>
              <w:t>NovoCure Limited</w:t>
            </w:r>
          </w:p>
        </w:tc>
        <w:tc>
          <w:tcPr>
            <w:tcW w:w="60" w:type="dxa"/>
            <w:tcBorders/>
            <w:shd w:fill="EFECE8" w:val="clear"/>
            <w:vAlign w:val="center"/>
          </w:tcPr>
          <w:p>
            <w:pPr>
              <w:pStyle w:val="TableContents"/>
              <w:bidi w:val="0"/>
              <w:spacing w:before="0" w:after="283"/>
              <w:jc w:val="left"/>
              <w:rPr/>
            </w:pPr>
            <w:r>
              <w:rPr/>
              <w:t> </w:t>
            </w:r>
          </w:p>
        </w:tc>
        <w:tc>
          <w:tcPr>
            <w:tcW w:w="273" w:type="dxa"/>
            <w:tcBorders/>
            <w:shd w:fill="EFECE8" w:val="clear"/>
            <w:vAlign w:val="center"/>
          </w:tcPr>
          <w:p>
            <w:pPr>
              <w:pStyle w:val="TableContents"/>
              <w:bidi w:val="0"/>
              <w:spacing w:before="0" w:after="283"/>
              <w:jc w:val="center"/>
              <w:rPr/>
            </w:pPr>
            <w:r>
              <w:rPr/>
              <w:drawing>
                <wp:inline distT="0" distB="0" distL="0" distR="0">
                  <wp:extent cx="135255" cy="13525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7"/>
                          <a:stretch>
                            <a:fillRect/>
                          </a:stretch>
                        </pic:blipFill>
                        <pic:spPr bwMode="auto">
                          <a:xfrm>
                            <a:off x="0" y="0"/>
                            <a:ext cx="135255" cy="135255"/>
                          </a:xfrm>
                          <a:prstGeom prst="rect">
                            <a:avLst/>
                          </a:prstGeom>
                        </pic:spPr>
                      </pic:pic>
                    </a:graphicData>
                  </a:graphic>
                </wp:inline>
              </w:drawing>
            </w:r>
            <w:r>
              <w:rPr/>
              <w:t xml:space="preserve"> </w:t>
            </w:r>
          </w:p>
        </w:tc>
        <w:tc>
          <w:tcPr>
            <w:tcW w:w="120" w:type="dxa"/>
            <w:tcBorders/>
            <w:shd w:fill="EFECE8" w:val="clear"/>
            <w:vAlign w:val="center"/>
          </w:tcPr>
          <w:p>
            <w:pPr>
              <w:pStyle w:val="TableContents"/>
              <w:bidi w:val="0"/>
              <w:spacing w:before="0" w:after="283"/>
              <w:jc w:val="left"/>
              <w:rPr/>
            </w:pPr>
            <w:r>
              <w:rPr/>
              <w:t>  </w:t>
            </w:r>
          </w:p>
        </w:tc>
        <w:tc>
          <w:tcPr>
            <w:tcW w:w="2870" w:type="dxa"/>
            <w:tcBorders/>
            <w:shd w:fill="EFECE8" w:val="clear"/>
            <w:vAlign w:val="center"/>
          </w:tcPr>
          <w:p>
            <w:pPr>
              <w:pStyle w:val="TableContents"/>
              <w:bidi w:val="0"/>
              <w:spacing w:before="0" w:after="283"/>
              <w:jc w:val="left"/>
              <w:rPr/>
            </w:pPr>
            <w:r>
              <w:rPr/>
              <w:t>CareDx, Inc.</w:t>
            </w:r>
          </w:p>
        </w:tc>
      </w:tr>
      <w:tr>
        <w:trPr/>
        <w:tc>
          <w:tcPr>
            <w:tcW w:w="288"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c>
          <w:tcPr>
            <w:tcW w:w="333" w:type="dxa"/>
            <w:gridSpan w:val="2"/>
            <w:tcBorders/>
            <w:vAlign w:val="center"/>
          </w:tcPr>
          <w:p>
            <w:pPr>
              <w:pStyle w:val="TableContents"/>
              <w:bidi w:val="0"/>
              <w:spacing w:before="0" w:after="283"/>
              <w:jc w:val="left"/>
              <w:rPr>
                <w:sz w:val="4"/>
                <w:szCs w:val="4"/>
              </w:rPr>
            </w:pPr>
            <w:r>
              <w:rPr>
                <w:sz w:val="4"/>
                <w:szCs w:val="4"/>
              </w:rPr>
            </w:r>
          </w:p>
        </w:tc>
        <w:tc>
          <w:tcPr>
            <w:tcW w:w="299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0"/>
              <w:jc w:val="center"/>
              <w:rPr/>
            </w:pPr>
            <w:r>
              <w:rPr/>
              <w:drawing>
                <wp:inline distT="0" distB="0" distL="0" distR="0">
                  <wp:extent cx="121920" cy="12192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8"/>
                          <a:stretch>
                            <a:fillRect/>
                          </a:stretch>
                        </pic:blipFill>
                        <pic:spPr bwMode="auto">
                          <a:xfrm>
                            <a:off x="0" y="0"/>
                            <a:ext cx="121920" cy="1219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Pacific Biosciences of California, Inc.</w:t>
            </w:r>
          </w:p>
        </w:tc>
        <w:tc>
          <w:tcPr>
            <w:tcW w:w="6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center"/>
              <w:rPr/>
            </w:pPr>
            <w:r>
              <w:rPr/>
              <w:drawing>
                <wp:inline distT="0" distB="0" distL="0" distR="0">
                  <wp:extent cx="121920" cy="12192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9"/>
                          <a:stretch>
                            <a:fillRect/>
                          </a:stretch>
                        </pic:blipFill>
                        <pic:spPr bwMode="auto">
                          <a:xfrm>
                            <a:off x="0" y="0"/>
                            <a:ext cx="121920" cy="1219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Pulmonx Corporation</w:t>
            </w:r>
          </w:p>
        </w:tc>
      </w:tr>
      <w:tr>
        <w:trPr/>
        <w:tc>
          <w:tcPr>
            <w:tcW w:w="288" w:type="dxa"/>
            <w:tcBorders/>
            <w:shd w:fill="EFECE8" w:val="clear"/>
            <w:vAlign w:val="center"/>
          </w:tcPr>
          <w:p>
            <w:pPr>
              <w:pStyle w:val="TableContents"/>
              <w:bidi w:val="0"/>
              <w:spacing w:before="0" w:after="283"/>
              <w:jc w:val="left"/>
              <w:rPr>
                <w:sz w:val="4"/>
                <w:szCs w:val="4"/>
              </w:rPr>
            </w:pPr>
            <w:r>
              <w:rPr>
                <w:sz w:val="4"/>
                <w:szCs w:val="4"/>
              </w:rPr>
            </w:r>
          </w:p>
        </w:tc>
        <w:tc>
          <w:tcPr>
            <w:tcW w:w="3650" w:type="dxa"/>
            <w:gridSpan w:val="2"/>
            <w:tcBorders/>
            <w:shd w:fill="EFECE8" w:val="clear"/>
            <w:vAlign w:val="center"/>
          </w:tcPr>
          <w:p>
            <w:pPr>
              <w:pStyle w:val="TableContents"/>
              <w:bidi w:val="0"/>
              <w:spacing w:before="0" w:after="283"/>
              <w:jc w:val="left"/>
              <w:rPr>
                <w:sz w:val="4"/>
                <w:szCs w:val="4"/>
              </w:rPr>
            </w:pPr>
            <w:r>
              <w:rPr>
                <w:sz w:val="4"/>
                <w:szCs w:val="4"/>
              </w:rPr>
            </w:r>
          </w:p>
        </w:tc>
        <w:tc>
          <w:tcPr>
            <w:tcW w:w="333" w:type="dxa"/>
            <w:gridSpan w:val="2"/>
            <w:tcBorders/>
            <w:shd w:fill="EFECE8" w:val="clear"/>
            <w:vAlign w:val="center"/>
          </w:tcPr>
          <w:p>
            <w:pPr>
              <w:pStyle w:val="TableContents"/>
              <w:bidi w:val="0"/>
              <w:spacing w:before="0" w:after="283"/>
              <w:jc w:val="left"/>
              <w:rPr>
                <w:sz w:val="4"/>
                <w:szCs w:val="4"/>
              </w:rPr>
            </w:pPr>
            <w:r>
              <w:rPr>
                <w:sz w:val="4"/>
                <w:szCs w:val="4"/>
              </w:rPr>
            </w:r>
          </w:p>
        </w:tc>
        <w:tc>
          <w:tcPr>
            <w:tcW w:w="2990"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88" w:type="dxa"/>
            <w:tcBorders/>
            <w:shd w:fill="EFECE8" w:val="clear"/>
            <w:vAlign w:val="center"/>
          </w:tcPr>
          <w:p>
            <w:pPr>
              <w:pStyle w:val="TableContents"/>
              <w:bidi w:val="0"/>
              <w:spacing w:before="0" w:after="0"/>
              <w:jc w:val="center"/>
              <w:rPr/>
            </w:pPr>
            <w:r>
              <w:rPr/>
              <w:drawing>
                <wp:inline distT="0" distB="0" distL="0" distR="0">
                  <wp:extent cx="135255" cy="13525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0"/>
                          <a:stretch>
                            <a:fillRect/>
                          </a:stretch>
                        </pic:blipFill>
                        <pic:spPr bwMode="auto">
                          <a:xfrm>
                            <a:off x="0" y="0"/>
                            <a:ext cx="135255" cy="135255"/>
                          </a:xfrm>
                          <a:prstGeom prst="rect">
                            <a:avLst/>
                          </a:prstGeom>
                        </pic:spPr>
                      </pic:pic>
                    </a:graphicData>
                  </a:graphic>
                </wp:inline>
              </w:drawing>
            </w:r>
            <w:r>
              <w:rPr/>
              <w:t xml:space="preserve"> </w:t>
            </w:r>
          </w:p>
        </w:tc>
        <w:tc>
          <w:tcPr>
            <w:tcW w:w="60" w:type="dxa"/>
            <w:tcBorders/>
            <w:shd w:fill="EFECE8" w:val="clear"/>
            <w:vAlign w:val="center"/>
          </w:tcPr>
          <w:p>
            <w:pPr>
              <w:pStyle w:val="TableContents"/>
              <w:bidi w:val="0"/>
              <w:spacing w:before="0" w:after="283"/>
              <w:jc w:val="left"/>
              <w:rPr/>
            </w:pPr>
            <w:r>
              <w:rPr/>
              <w:t> </w:t>
            </w:r>
          </w:p>
        </w:tc>
        <w:tc>
          <w:tcPr>
            <w:tcW w:w="3590" w:type="dxa"/>
            <w:tcBorders/>
            <w:shd w:fill="EFECE8" w:val="clear"/>
            <w:vAlign w:val="center"/>
          </w:tcPr>
          <w:p>
            <w:pPr>
              <w:pStyle w:val="TableContents"/>
              <w:bidi w:val="0"/>
              <w:spacing w:before="0" w:after="283"/>
              <w:jc w:val="left"/>
              <w:rPr/>
            </w:pPr>
            <w:r>
              <w:rPr/>
              <w:t>Shockwave Medical, Inc.</w:t>
            </w:r>
          </w:p>
        </w:tc>
        <w:tc>
          <w:tcPr>
            <w:tcW w:w="60" w:type="dxa"/>
            <w:tcBorders/>
            <w:shd w:fill="EFECE8" w:val="clear"/>
            <w:vAlign w:val="center"/>
          </w:tcPr>
          <w:p>
            <w:pPr>
              <w:pStyle w:val="TableContents"/>
              <w:bidi w:val="0"/>
              <w:spacing w:before="0" w:after="283"/>
              <w:jc w:val="left"/>
              <w:rPr/>
            </w:pPr>
            <w:r>
              <w:rPr/>
              <w:t> </w:t>
            </w:r>
          </w:p>
        </w:tc>
        <w:tc>
          <w:tcPr>
            <w:tcW w:w="273" w:type="dxa"/>
            <w:tcBorders/>
            <w:shd w:fill="EFECE8" w:val="clear"/>
            <w:vAlign w:val="center"/>
          </w:tcPr>
          <w:p>
            <w:pPr>
              <w:pStyle w:val="TableContents"/>
              <w:bidi w:val="0"/>
              <w:spacing w:before="0" w:after="283"/>
              <w:jc w:val="center"/>
              <w:rPr/>
            </w:pPr>
            <w:r>
              <w:rPr/>
              <w:drawing>
                <wp:inline distT="0" distB="0" distL="0" distR="0">
                  <wp:extent cx="135255" cy="13525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1"/>
                          <a:stretch>
                            <a:fillRect/>
                          </a:stretch>
                        </pic:blipFill>
                        <pic:spPr bwMode="auto">
                          <a:xfrm>
                            <a:off x="0" y="0"/>
                            <a:ext cx="135255" cy="135255"/>
                          </a:xfrm>
                          <a:prstGeom prst="rect">
                            <a:avLst/>
                          </a:prstGeom>
                        </pic:spPr>
                      </pic:pic>
                    </a:graphicData>
                  </a:graphic>
                </wp:inline>
              </w:drawing>
            </w:r>
            <w:r>
              <w:rPr/>
              <w:t xml:space="preserve"> </w:t>
            </w:r>
          </w:p>
        </w:tc>
        <w:tc>
          <w:tcPr>
            <w:tcW w:w="120" w:type="dxa"/>
            <w:tcBorders/>
            <w:shd w:fill="EFECE8" w:val="clear"/>
            <w:vAlign w:val="center"/>
          </w:tcPr>
          <w:p>
            <w:pPr>
              <w:pStyle w:val="TableContents"/>
              <w:bidi w:val="0"/>
              <w:spacing w:before="0" w:after="283"/>
              <w:jc w:val="left"/>
              <w:rPr/>
            </w:pPr>
            <w:r>
              <w:rPr/>
              <w:t>  </w:t>
            </w:r>
          </w:p>
        </w:tc>
        <w:tc>
          <w:tcPr>
            <w:tcW w:w="2870" w:type="dxa"/>
            <w:tcBorders/>
            <w:shd w:fill="EFECE8" w:val="clear"/>
            <w:vAlign w:val="center"/>
          </w:tcPr>
          <w:p>
            <w:pPr>
              <w:pStyle w:val="TableContents"/>
              <w:bidi w:val="0"/>
              <w:spacing w:before="0" w:after="283"/>
              <w:jc w:val="left"/>
              <w:rPr/>
            </w:pPr>
            <w:r>
              <w:rPr/>
              <w:t>SomaLogic, Inc.</w:t>
            </w:r>
          </w:p>
        </w:tc>
      </w:tr>
      <w:tr>
        <w:trPr/>
        <w:tc>
          <w:tcPr>
            <w:tcW w:w="288"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c>
          <w:tcPr>
            <w:tcW w:w="333" w:type="dxa"/>
            <w:gridSpan w:val="2"/>
            <w:tcBorders/>
            <w:vAlign w:val="center"/>
          </w:tcPr>
          <w:p>
            <w:pPr>
              <w:pStyle w:val="TableContents"/>
              <w:bidi w:val="0"/>
              <w:spacing w:before="0" w:after="283"/>
              <w:jc w:val="left"/>
              <w:rPr>
                <w:sz w:val="4"/>
                <w:szCs w:val="4"/>
              </w:rPr>
            </w:pPr>
            <w:r>
              <w:rPr>
                <w:sz w:val="4"/>
                <w:szCs w:val="4"/>
              </w:rPr>
            </w:r>
          </w:p>
        </w:tc>
        <w:tc>
          <w:tcPr>
            <w:tcW w:w="299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bottom w:val="single" w:sz="8" w:space="0" w:color="A41F35"/>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3590" w:type="dxa"/>
            <w:tcBorders>
              <w:bottom w:val="single" w:sz="8" w:space="0" w:color="A41F35"/>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273" w:type="dxa"/>
            <w:tcBorders>
              <w:bottom w:val="single" w:sz="8" w:space="0" w:color="A41F35"/>
            </w:tcBorders>
            <w:tcMar>
              <w:bottom w:w="40" w:type="dxa"/>
            </w:tcMar>
            <w:vAlign w:val="center"/>
          </w:tcPr>
          <w:p>
            <w:pPr>
              <w:pStyle w:val="TableContents"/>
              <w:bidi w:val="0"/>
              <w:spacing w:before="0" w:after="283"/>
              <w:jc w:val="center"/>
              <w:rPr/>
            </w:pPr>
            <w:r>
              <w:rPr/>
              <w:drawing>
                <wp:inline distT="0" distB="0" distL="0" distR="0">
                  <wp:extent cx="121920" cy="12192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2"/>
                          <a:stretch>
                            <a:fillRect/>
                          </a:stretch>
                        </pic:blipFill>
                        <pic:spPr bwMode="auto">
                          <a:xfrm>
                            <a:off x="0" y="0"/>
                            <a:ext cx="121920" cy="121920"/>
                          </a:xfrm>
                          <a:prstGeom prst="rect">
                            <a:avLst/>
                          </a:prstGeom>
                        </pic:spPr>
                      </pic:pic>
                    </a:graphicData>
                  </a:graphic>
                </wp:inline>
              </w:drawing>
            </w:r>
            <w:r>
              <w:rPr/>
              <w:t xml:space="preserve"> </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870" w:type="dxa"/>
            <w:tcBorders>
              <w:bottom w:val="single" w:sz="8" w:space="0" w:color="A41F35"/>
            </w:tcBorders>
            <w:tcMar>
              <w:bottom w:w="40" w:type="dxa"/>
            </w:tcMar>
            <w:vAlign w:val="center"/>
          </w:tcPr>
          <w:p>
            <w:pPr>
              <w:pStyle w:val="TableContents"/>
              <w:bidi w:val="0"/>
              <w:spacing w:before="0" w:after="283"/>
              <w:jc w:val="left"/>
              <w:rPr/>
            </w:pPr>
            <w:r>
              <w:rPr/>
              <w:t>Twist Bioscience Corporation</w:t>
            </w:r>
          </w:p>
        </w:tc>
      </w:tr>
    </w:tbl>
    <w:p>
      <w:pPr>
        <w:pStyle w:val="TextBody"/>
        <w:bidi w:val="0"/>
        <w:spacing w:before="160" w:after="0"/>
        <w:jc w:val="left"/>
        <w:rPr>
          <w:rFonts w:ascii="arial" w:hAnsi="arial"/>
          <w:sz w:val="18"/>
        </w:rPr>
      </w:pPr>
      <w:r>
        <w:rPr>
          <w:rFonts w:ascii="arial" w:hAnsi="arial"/>
          <w:sz w:val="18"/>
        </w:rPr>
        <w:t xml:space="preserve">With these changes, the compensation peer group companies selected by our Compensation Committee for 2024 executive compensation purposes are listed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38"/>
        <w:gridCol w:w="120"/>
        <w:gridCol w:w="2648"/>
        <w:gridCol w:w="120"/>
        <w:gridCol w:w="2660"/>
        <w:gridCol w:w="120"/>
        <w:gridCol w:w="2499"/>
      </w:tblGrid>
      <w:tr>
        <w:trPr/>
        <w:tc>
          <w:tcPr>
            <w:tcW w:w="20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2024 Peer Group</w:t>
            </w:r>
          </w:p>
        </w:tc>
      </w:tr>
      <w:tr>
        <w:trPr/>
        <w:tc>
          <w:tcPr>
            <w:tcW w:w="2038" w:type="dxa"/>
            <w:tcBorders/>
            <w:shd w:fill="EFECE8" w:val="clear"/>
            <w:vAlign w:val="center"/>
          </w:tcPr>
          <w:p>
            <w:pPr>
              <w:pStyle w:val="TableContents"/>
              <w:bidi w:val="0"/>
              <w:spacing w:before="0" w:after="283"/>
              <w:jc w:val="left"/>
              <w:rPr>
                <w:sz w:val="4"/>
                <w:szCs w:val="4"/>
              </w:rPr>
            </w:pPr>
            <w:r>
              <w:rPr>
                <w:sz w:val="4"/>
                <w:szCs w:val="4"/>
              </w:rPr>
            </w:r>
          </w:p>
        </w:tc>
        <w:tc>
          <w:tcPr>
            <w:tcW w:w="2768" w:type="dxa"/>
            <w:gridSpan w:val="2"/>
            <w:tcBorders/>
            <w:shd w:fill="EFECE8" w:val="clear"/>
            <w:vAlign w:val="center"/>
          </w:tcPr>
          <w:p>
            <w:pPr>
              <w:pStyle w:val="TableContents"/>
              <w:bidi w:val="0"/>
              <w:spacing w:before="0" w:after="283"/>
              <w:jc w:val="left"/>
              <w:rPr>
                <w:sz w:val="4"/>
                <w:szCs w:val="4"/>
              </w:rPr>
            </w:pPr>
            <w:r>
              <w:rPr>
                <w:sz w:val="4"/>
                <w:szCs w:val="4"/>
              </w:rPr>
            </w:r>
          </w:p>
        </w:tc>
        <w:tc>
          <w:tcPr>
            <w:tcW w:w="2780" w:type="dxa"/>
            <w:gridSpan w:val="2"/>
            <w:tcBorders/>
            <w:shd w:fill="EFECE8" w:val="clear"/>
            <w:vAlign w:val="center"/>
          </w:tcPr>
          <w:p>
            <w:pPr>
              <w:pStyle w:val="TableContents"/>
              <w:bidi w:val="0"/>
              <w:spacing w:before="0" w:after="283"/>
              <w:jc w:val="left"/>
              <w:rPr>
                <w:sz w:val="4"/>
                <w:szCs w:val="4"/>
              </w:rPr>
            </w:pPr>
            <w:r>
              <w:rPr>
                <w:sz w:val="4"/>
                <w:szCs w:val="4"/>
              </w:rPr>
            </w:r>
          </w:p>
        </w:tc>
        <w:tc>
          <w:tcPr>
            <w:tcW w:w="2619"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038" w:type="dxa"/>
            <w:tcBorders/>
            <w:shd w:fill="EFECE8" w:val="clear"/>
            <w:vAlign w:val="center"/>
          </w:tcPr>
          <w:p>
            <w:pPr>
              <w:pStyle w:val="TableContents"/>
              <w:bidi w:val="0"/>
              <w:spacing w:before="0" w:after="0"/>
              <w:jc w:val="left"/>
              <w:rPr>
                <w:rFonts w:ascii="arial" w:hAnsi="arial"/>
                <w:sz w:val="18"/>
              </w:rPr>
            </w:pPr>
            <w:r>
              <w:rPr>
                <w:rFonts w:ascii="arial" w:hAnsi="arial"/>
                <w:sz w:val="18"/>
              </w:rPr>
              <w:t>AtriCure, Inc.</w:t>
            </w:r>
          </w:p>
        </w:tc>
        <w:tc>
          <w:tcPr>
            <w:tcW w:w="120" w:type="dxa"/>
            <w:tcBorders/>
            <w:shd w:fill="EFECE8" w:val="clear"/>
            <w:vAlign w:val="center"/>
          </w:tcPr>
          <w:p>
            <w:pPr>
              <w:pStyle w:val="TableContents"/>
              <w:bidi w:val="0"/>
              <w:spacing w:before="0" w:after="283"/>
              <w:jc w:val="left"/>
              <w:rPr/>
            </w:pPr>
            <w:r>
              <w:rPr/>
              <w:t>  </w:t>
            </w:r>
          </w:p>
        </w:tc>
        <w:tc>
          <w:tcPr>
            <w:tcW w:w="2648" w:type="dxa"/>
            <w:tcBorders/>
            <w:shd w:fill="EFECE8" w:val="clear"/>
            <w:vAlign w:val="center"/>
          </w:tcPr>
          <w:p>
            <w:pPr>
              <w:pStyle w:val="TableContents"/>
              <w:bidi w:val="0"/>
              <w:spacing w:before="0" w:after="283"/>
              <w:jc w:val="left"/>
              <w:rPr/>
            </w:pPr>
            <w:r>
              <w:rPr/>
              <w:t>Axonics, Inc.</w:t>
            </w:r>
          </w:p>
        </w:tc>
        <w:tc>
          <w:tcPr>
            <w:tcW w:w="120" w:type="dxa"/>
            <w:tcBorders/>
            <w:shd w:fill="EFECE8" w:val="clear"/>
            <w:vAlign w:val="center"/>
          </w:tcPr>
          <w:p>
            <w:pPr>
              <w:pStyle w:val="TableContents"/>
              <w:bidi w:val="0"/>
              <w:spacing w:before="0" w:after="283"/>
              <w:jc w:val="left"/>
              <w:rPr/>
            </w:pPr>
            <w:r>
              <w:rPr/>
              <w:t>  </w:t>
            </w:r>
          </w:p>
        </w:tc>
        <w:tc>
          <w:tcPr>
            <w:tcW w:w="2660" w:type="dxa"/>
            <w:tcBorders/>
            <w:shd w:fill="EFECE8" w:val="clear"/>
            <w:vAlign w:val="center"/>
          </w:tcPr>
          <w:p>
            <w:pPr>
              <w:pStyle w:val="TableContents"/>
              <w:bidi w:val="0"/>
              <w:spacing w:before="0" w:after="283"/>
              <w:jc w:val="left"/>
              <w:rPr/>
            </w:pPr>
            <w:r>
              <w:rPr/>
              <w:t>Establishment Labs</w:t>
              <w:br/>
              <w:t>Holdings Inc.</w:t>
            </w:r>
          </w:p>
        </w:tc>
        <w:tc>
          <w:tcPr>
            <w:tcW w:w="120" w:type="dxa"/>
            <w:tcBorders/>
            <w:shd w:fill="EFECE8" w:val="clear"/>
            <w:vAlign w:val="center"/>
          </w:tcPr>
          <w:p>
            <w:pPr>
              <w:pStyle w:val="TableContents"/>
              <w:bidi w:val="0"/>
              <w:spacing w:before="0" w:after="283"/>
              <w:jc w:val="left"/>
              <w:rPr/>
            </w:pPr>
            <w:r>
              <w:rPr/>
              <w:t>  </w:t>
            </w:r>
          </w:p>
        </w:tc>
        <w:tc>
          <w:tcPr>
            <w:tcW w:w="2499" w:type="dxa"/>
            <w:tcBorders/>
            <w:shd w:fill="EFECE8" w:val="clear"/>
            <w:vAlign w:val="center"/>
          </w:tcPr>
          <w:p>
            <w:pPr>
              <w:pStyle w:val="TableContents"/>
              <w:bidi w:val="0"/>
              <w:spacing w:before="0" w:after="283"/>
              <w:jc w:val="left"/>
              <w:rPr/>
            </w:pPr>
            <w:r>
              <w:rPr/>
              <w:t>Glaukos Corporation</w:t>
            </w:r>
          </w:p>
        </w:tc>
      </w:tr>
      <w:tr>
        <w:trPr/>
        <w:tc>
          <w:tcPr>
            <w:tcW w:w="2038" w:type="dxa"/>
            <w:tcBorders/>
            <w:vAlign w:val="center"/>
          </w:tcPr>
          <w:p>
            <w:pPr>
              <w:pStyle w:val="TableContents"/>
              <w:bidi w:val="0"/>
              <w:spacing w:before="0" w:after="283"/>
              <w:jc w:val="left"/>
              <w:rPr>
                <w:sz w:val="4"/>
                <w:szCs w:val="4"/>
              </w:rPr>
            </w:pPr>
            <w:r>
              <w:rPr>
                <w:sz w:val="4"/>
                <w:szCs w:val="4"/>
              </w:rPr>
            </w:r>
          </w:p>
        </w:tc>
        <w:tc>
          <w:tcPr>
            <w:tcW w:w="2768"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2619"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0"/>
              <w:jc w:val="left"/>
              <w:rPr>
                <w:rFonts w:ascii="arial" w:hAnsi="arial"/>
                <w:sz w:val="18"/>
              </w:rPr>
            </w:pPr>
            <w:r>
              <w:rPr>
                <w:rFonts w:ascii="arial" w:hAnsi="arial"/>
                <w:sz w:val="18"/>
              </w:rPr>
              <w:t>Inari Medical, Inc.</w:t>
            </w:r>
          </w:p>
        </w:tc>
        <w:tc>
          <w:tcPr>
            <w:tcW w:w="120" w:type="dxa"/>
            <w:tcBorders/>
            <w:vAlign w:val="center"/>
          </w:tcPr>
          <w:p>
            <w:pPr>
              <w:pStyle w:val="TableContents"/>
              <w:bidi w:val="0"/>
              <w:spacing w:before="0" w:after="283"/>
              <w:jc w:val="left"/>
              <w:rPr/>
            </w:pPr>
            <w:r>
              <w:rPr/>
              <w:t>  </w:t>
            </w:r>
          </w:p>
        </w:tc>
        <w:tc>
          <w:tcPr>
            <w:tcW w:w="2648" w:type="dxa"/>
            <w:tcBorders/>
            <w:vAlign w:val="center"/>
          </w:tcPr>
          <w:p>
            <w:pPr>
              <w:pStyle w:val="TableContents"/>
              <w:bidi w:val="0"/>
              <w:spacing w:before="0" w:after="283"/>
              <w:jc w:val="left"/>
              <w:rPr/>
            </w:pPr>
            <w:r>
              <w:rPr/>
              <w:t>iRhythm Technologies, Inc.</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Nevro Corp.</w:t>
            </w:r>
          </w:p>
        </w:tc>
        <w:tc>
          <w:tcPr>
            <w:tcW w:w="120" w:type="dxa"/>
            <w:tcBorders/>
            <w:vAlign w:val="center"/>
          </w:tcPr>
          <w:p>
            <w:pPr>
              <w:pStyle w:val="TableContents"/>
              <w:bidi w:val="0"/>
              <w:spacing w:before="0" w:after="283"/>
              <w:jc w:val="left"/>
              <w:rPr/>
            </w:pPr>
            <w:r>
              <w:rPr/>
              <w:t>  </w:t>
            </w:r>
          </w:p>
        </w:tc>
        <w:tc>
          <w:tcPr>
            <w:tcW w:w="2499" w:type="dxa"/>
            <w:tcBorders/>
            <w:vAlign w:val="center"/>
          </w:tcPr>
          <w:p>
            <w:pPr>
              <w:pStyle w:val="TableContents"/>
              <w:bidi w:val="0"/>
              <w:spacing w:before="0" w:after="283"/>
              <w:jc w:val="left"/>
              <w:rPr/>
            </w:pPr>
            <w:r>
              <w:rPr/>
              <w:t>NovoCure Limited</w:t>
            </w:r>
          </w:p>
        </w:tc>
      </w:tr>
      <w:tr>
        <w:trPr/>
        <w:tc>
          <w:tcPr>
            <w:tcW w:w="2038" w:type="dxa"/>
            <w:tcBorders/>
            <w:shd w:fill="EFECE8" w:val="clear"/>
            <w:vAlign w:val="center"/>
          </w:tcPr>
          <w:p>
            <w:pPr>
              <w:pStyle w:val="TableContents"/>
              <w:bidi w:val="0"/>
              <w:spacing w:before="0" w:after="283"/>
              <w:jc w:val="left"/>
              <w:rPr>
                <w:sz w:val="4"/>
                <w:szCs w:val="4"/>
              </w:rPr>
            </w:pPr>
            <w:r>
              <w:rPr>
                <w:sz w:val="4"/>
                <w:szCs w:val="4"/>
              </w:rPr>
            </w:r>
          </w:p>
        </w:tc>
        <w:tc>
          <w:tcPr>
            <w:tcW w:w="2768" w:type="dxa"/>
            <w:gridSpan w:val="2"/>
            <w:tcBorders/>
            <w:shd w:fill="EFECE8" w:val="clear"/>
            <w:vAlign w:val="center"/>
          </w:tcPr>
          <w:p>
            <w:pPr>
              <w:pStyle w:val="TableContents"/>
              <w:bidi w:val="0"/>
              <w:spacing w:before="0" w:after="283"/>
              <w:jc w:val="left"/>
              <w:rPr>
                <w:sz w:val="4"/>
                <w:szCs w:val="4"/>
              </w:rPr>
            </w:pPr>
            <w:r>
              <w:rPr>
                <w:sz w:val="4"/>
                <w:szCs w:val="4"/>
              </w:rPr>
            </w:r>
          </w:p>
        </w:tc>
        <w:tc>
          <w:tcPr>
            <w:tcW w:w="2780" w:type="dxa"/>
            <w:gridSpan w:val="2"/>
            <w:tcBorders/>
            <w:shd w:fill="EFECE8" w:val="clear"/>
            <w:vAlign w:val="center"/>
          </w:tcPr>
          <w:p>
            <w:pPr>
              <w:pStyle w:val="TableContents"/>
              <w:bidi w:val="0"/>
              <w:spacing w:before="0" w:after="283"/>
              <w:jc w:val="left"/>
              <w:rPr>
                <w:sz w:val="4"/>
                <w:szCs w:val="4"/>
              </w:rPr>
            </w:pPr>
            <w:r>
              <w:rPr>
                <w:sz w:val="4"/>
                <w:szCs w:val="4"/>
              </w:rPr>
            </w:r>
          </w:p>
        </w:tc>
        <w:tc>
          <w:tcPr>
            <w:tcW w:w="2619"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038" w:type="dxa"/>
            <w:tcBorders/>
            <w:shd w:fill="EFECE8" w:val="clear"/>
            <w:vAlign w:val="center"/>
          </w:tcPr>
          <w:p>
            <w:pPr>
              <w:pStyle w:val="TableContents"/>
              <w:bidi w:val="0"/>
              <w:spacing w:before="0" w:after="0"/>
              <w:jc w:val="left"/>
              <w:rPr>
                <w:rFonts w:ascii="arial" w:hAnsi="arial"/>
                <w:sz w:val="18"/>
              </w:rPr>
            </w:pPr>
            <w:r>
              <w:rPr>
                <w:rFonts w:ascii="arial" w:hAnsi="arial"/>
                <w:sz w:val="18"/>
              </w:rPr>
              <w:t>OrthoPediatrics Corp.</w:t>
            </w:r>
          </w:p>
        </w:tc>
        <w:tc>
          <w:tcPr>
            <w:tcW w:w="120" w:type="dxa"/>
            <w:tcBorders/>
            <w:shd w:fill="EFECE8" w:val="clear"/>
            <w:vAlign w:val="center"/>
          </w:tcPr>
          <w:p>
            <w:pPr>
              <w:pStyle w:val="TableContents"/>
              <w:bidi w:val="0"/>
              <w:spacing w:before="0" w:after="283"/>
              <w:jc w:val="left"/>
              <w:rPr/>
            </w:pPr>
            <w:r>
              <w:rPr/>
              <w:t>  </w:t>
            </w:r>
          </w:p>
        </w:tc>
        <w:tc>
          <w:tcPr>
            <w:tcW w:w="2648" w:type="dxa"/>
            <w:tcBorders/>
            <w:shd w:fill="EFECE8" w:val="clear"/>
            <w:vAlign w:val="center"/>
          </w:tcPr>
          <w:p>
            <w:pPr>
              <w:pStyle w:val="TableContents"/>
              <w:bidi w:val="0"/>
              <w:spacing w:before="0" w:after="283"/>
              <w:jc w:val="left"/>
              <w:rPr/>
            </w:pPr>
            <w:r>
              <w:rPr/>
              <w:t>Outset Medical, Inc.</w:t>
            </w:r>
          </w:p>
        </w:tc>
        <w:tc>
          <w:tcPr>
            <w:tcW w:w="120" w:type="dxa"/>
            <w:tcBorders/>
            <w:shd w:fill="EFECE8" w:val="clear"/>
            <w:vAlign w:val="center"/>
          </w:tcPr>
          <w:p>
            <w:pPr>
              <w:pStyle w:val="TableContents"/>
              <w:bidi w:val="0"/>
              <w:spacing w:before="0" w:after="283"/>
              <w:jc w:val="left"/>
              <w:rPr/>
            </w:pPr>
            <w:r>
              <w:rPr/>
              <w:t>  </w:t>
            </w:r>
          </w:p>
        </w:tc>
        <w:tc>
          <w:tcPr>
            <w:tcW w:w="2660" w:type="dxa"/>
            <w:tcBorders/>
            <w:shd w:fill="EFECE8" w:val="clear"/>
            <w:vAlign w:val="center"/>
          </w:tcPr>
          <w:p>
            <w:pPr>
              <w:pStyle w:val="TableContents"/>
              <w:bidi w:val="0"/>
              <w:spacing w:before="0" w:after="283"/>
              <w:jc w:val="left"/>
              <w:rPr/>
            </w:pPr>
            <w:r>
              <w:rPr/>
              <w:t>Pacific Biosciences of</w:t>
              <w:br/>
              <w:t>California, Inc.</w:t>
            </w:r>
          </w:p>
        </w:tc>
        <w:tc>
          <w:tcPr>
            <w:tcW w:w="120" w:type="dxa"/>
            <w:tcBorders/>
            <w:shd w:fill="EFECE8" w:val="clear"/>
            <w:vAlign w:val="center"/>
          </w:tcPr>
          <w:p>
            <w:pPr>
              <w:pStyle w:val="TableContents"/>
              <w:bidi w:val="0"/>
              <w:spacing w:before="0" w:after="283"/>
              <w:jc w:val="left"/>
              <w:rPr/>
            </w:pPr>
            <w:r>
              <w:rPr/>
              <w:t>  </w:t>
            </w:r>
          </w:p>
        </w:tc>
        <w:tc>
          <w:tcPr>
            <w:tcW w:w="2499" w:type="dxa"/>
            <w:tcBorders/>
            <w:shd w:fill="EFECE8" w:val="clear"/>
            <w:vAlign w:val="center"/>
          </w:tcPr>
          <w:p>
            <w:pPr>
              <w:pStyle w:val="TableContents"/>
              <w:bidi w:val="0"/>
              <w:spacing w:before="0" w:after="283"/>
              <w:jc w:val="left"/>
              <w:rPr/>
            </w:pPr>
            <w:r>
              <w:rPr/>
              <w:t>PROCEPT BioRobotics</w:t>
              <w:br/>
              <w:t>Corporation</w:t>
            </w:r>
          </w:p>
        </w:tc>
      </w:tr>
      <w:tr>
        <w:trPr/>
        <w:tc>
          <w:tcPr>
            <w:tcW w:w="2038" w:type="dxa"/>
            <w:tcBorders/>
            <w:vAlign w:val="center"/>
          </w:tcPr>
          <w:p>
            <w:pPr>
              <w:pStyle w:val="TableContents"/>
              <w:bidi w:val="0"/>
              <w:spacing w:before="0" w:after="283"/>
              <w:jc w:val="left"/>
              <w:rPr>
                <w:sz w:val="4"/>
                <w:szCs w:val="4"/>
              </w:rPr>
            </w:pPr>
            <w:r>
              <w:rPr>
                <w:sz w:val="4"/>
                <w:szCs w:val="4"/>
              </w:rPr>
            </w:r>
          </w:p>
        </w:tc>
        <w:tc>
          <w:tcPr>
            <w:tcW w:w="2768" w:type="dxa"/>
            <w:gridSpan w:val="2"/>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c>
          <w:tcPr>
            <w:tcW w:w="2619" w:type="dxa"/>
            <w:gridSpan w:val="2"/>
            <w:tcBorders/>
            <w:vAlign w:val="center"/>
          </w:tcPr>
          <w:p>
            <w:pPr>
              <w:pStyle w:val="TableContents"/>
              <w:bidi w:val="0"/>
              <w:spacing w:before="0" w:after="283"/>
              <w:jc w:val="left"/>
              <w:rPr>
                <w:sz w:val="4"/>
                <w:szCs w:val="4"/>
              </w:rPr>
            </w:pPr>
            <w:r>
              <w:rPr>
                <w:sz w:val="4"/>
                <w:szCs w:val="4"/>
              </w:rPr>
            </w:r>
          </w:p>
        </w:tc>
      </w:tr>
      <w:tr>
        <w:trPr/>
        <w:tc>
          <w:tcPr>
            <w:tcW w:w="2038"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Shockwave Medical, Inc.</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648" w:type="dxa"/>
            <w:tcBorders>
              <w:bottom w:val="single" w:sz="8" w:space="0" w:color="A41F35"/>
            </w:tcBorders>
            <w:tcMar>
              <w:bottom w:w="40" w:type="dxa"/>
            </w:tcMar>
            <w:vAlign w:val="center"/>
          </w:tcPr>
          <w:p>
            <w:pPr>
              <w:pStyle w:val="TableContents"/>
              <w:bidi w:val="0"/>
              <w:spacing w:before="0" w:after="283"/>
              <w:jc w:val="left"/>
              <w:rPr/>
            </w:pPr>
            <w:r>
              <w:rPr/>
              <w:t>Silk Road Medical, Inc</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660" w:type="dxa"/>
            <w:tcBorders>
              <w:bottom w:val="single" w:sz="8" w:space="0" w:color="A41F35"/>
            </w:tcBorders>
            <w:tcMar>
              <w:bottom w:w="40" w:type="dxa"/>
            </w:tcMar>
            <w:vAlign w:val="center"/>
          </w:tcPr>
          <w:p>
            <w:pPr>
              <w:pStyle w:val="TableContents"/>
              <w:bidi w:val="0"/>
              <w:spacing w:before="0" w:after="283"/>
              <w:jc w:val="left"/>
              <w:rPr/>
            </w:pPr>
            <w:r>
              <w:rPr/>
              <w:t>STAAR Surgical Company</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499" w:type="dxa"/>
            <w:tcBorders>
              <w:bottom w:val="single" w:sz="8" w:space="0" w:color="A41F35"/>
            </w:tcBorders>
            <w:tcMar>
              <w:bottom w:w="40" w:type="dxa"/>
            </w:tcMar>
            <w:vAlign w:val="center"/>
          </w:tcPr>
          <w:p>
            <w:pPr>
              <w:pStyle w:val="TableContents"/>
              <w:bidi w:val="0"/>
              <w:spacing w:before="0" w:after="283"/>
              <w:jc w:val="left"/>
              <w:rPr/>
            </w:pPr>
            <w:r>
              <w:rPr/>
              <w:t>Treace Medical Concepts,</w:t>
              <w:br/>
              <w:t>Inc.</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bookmarkStart w:id="21" w:name="toc803709_19"/>
      <w:bookmarkEnd w:id="21"/>
      <w:r>
        <w:rPr>
          <w:rFonts w:ascii="arial" w:hAnsi="arial"/>
          <w:b/>
          <w:color w:val="A41F35"/>
          <w:sz w:val="28"/>
        </w:rPr>
        <w:t xml:space="preserve">2024 Executive Compensation Program in Detail </w:t>
      </w:r>
    </w:p>
    <w:p>
      <w:pPr>
        <w:pStyle w:val="TextBody"/>
        <w:bidi w:val="0"/>
        <w:spacing w:before="120" w:after="0"/>
        <w:jc w:val="left"/>
        <w:rPr>
          <w:rFonts w:ascii="arial" w:hAnsi="arial"/>
          <w:b/>
          <w:color w:val="A41F35"/>
          <w:sz w:val="28"/>
        </w:rPr>
      </w:pPr>
      <w:r>
        <w:rPr>
          <w:rFonts w:ascii="arial" w:hAnsi="arial"/>
          <w:b/>
          <w:color w:val="A41F35"/>
          <w:sz w:val="28"/>
        </w:rPr>
        <w:t xml:space="preserve">Base Salary </w:t>
      </w:r>
    </w:p>
    <w:p>
      <w:pPr>
        <w:pStyle w:val="TextBody"/>
        <w:bidi w:val="0"/>
        <w:spacing w:before="120" w:after="0"/>
        <w:jc w:val="left"/>
        <w:rPr>
          <w:rFonts w:ascii="arial" w:hAnsi="arial"/>
          <w:sz w:val="18"/>
        </w:rPr>
      </w:pPr>
      <w:r>
        <w:rPr>
          <w:rFonts w:ascii="arial" w:hAnsi="arial"/>
          <w:sz w:val="18"/>
        </w:rPr>
        <w:t xml:space="preserve">Each of our currently employed named executive officers is paid a base salary. Our Compensation Committee believes this element of compensation is important because it provides a fixed element of compensation that reflects the individual named executive officer’s skills, experience and role. Base salaries are established based on peer group data and other market data, as described above, and each named executive officer’s skill set, experience, role and responsibilities, are reviewed annually and may be adjusted based on such factors. In connection with his hire in December 2024, our Compensation Committee established the initial base salary for Mr. Hernandez taking into account the factors described above. For 2024, our Compensation Committee reviewed the base salaries for our other named executive officers and, taking into account the factors described above, approved the annual base salaries of the named executive officers for 2024 as shown in the table below: </w:t>
      </w:r>
    </w:p>
    <w:p>
      <w:pPr>
        <w:pStyle w:val="TextBody"/>
        <w:bidi w:val="0"/>
        <w:spacing w:before="0" w:after="0"/>
        <w:jc w:val="left"/>
        <w:rPr/>
      </w:pPr>
      <w:r>
        <w:rPr/>
        <w:t> </w:t>
      </w:r>
    </w:p>
    <w:tbl>
      <w:tblPr>
        <w:tblW w:w="6275" w:type="dxa"/>
        <w:jc w:val="left"/>
        <w:tblInd w:w="0" w:type="dxa"/>
        <w:tblLayout w:type="fixed"/>
        <w:tblCellMar>
          <w:top w:w="0" w:type="dxa"/>
          <w:left w:w="0" w:type="dxa"/>
          <w:bottom w:w="0" w:type="dxa"/>
          <w:right w:w="0" w:type="dxa"/>
        </w:tblCellMar>
      </w:tblPr>
      <w:tblGrid>
        <w:gridCol w:w="2285"/>
        <w:gridCol w:w="120"/>
        <w:gridCol w:w="71"/>
        <w:gridCol w:w="166"/>
        <w:gridCol w:w="954"/>
        <w:gridCol w:w="29"/>
        <w:gridCol w:w="120"/>
        <w:gridCol w:w="71"/>
        <w:gridCol w:w="166"/>
        <w:gridCol w:w="954"/>
        <w:gridCol w:w="29"/>
        <w:gridCol w:w="120"/>
        <w:gridCol w:w="112"/>
        <w:gridCol w:w="112"/>
        <w:gridCol w:w="824"/>
        <w:gridCol w:w="142"/>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Named Executive Officer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2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2023</w:t>
              <w:br/>
              <w:t>Annual</w:t>
              <w:br/>
              <w:t>Base Salary</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2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2024</w:t>
              <w:br/>
              <w:t>Annual</w:t>
              <w:br/>
              <w:t>Base Salary</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 Increase</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650,000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700,000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824" w:type="dxa"/>
            <w:tcBorders/>
            <w:shd w:fill="EFECE8" w:val="clear"/>
            <w:vAlign w:val="center"/>
          </w:tcPr>
          <w:p>
            <w:pPr>
              <w:pStyle w:val="TableContents"/>
              <w:bidi w:val="0"/>
              <w:spacing w:before="0" w:after="283"/>
              <w:jc w:val="right"/>
              <w:rPr/>
            </w:pPr>
            <w:r>
              <w:rPr/>
              <w:t>7.7%</w:t>
            </w:r>
          </w:p>
        </w:tc>
        <w:tc>
          <w:tcPr>
            <w:tcW w:w="142"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Hernandez(1)</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n/a</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450,000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n/a</w:t>
            </w:r>
          </w:p>
        </w:tc>
        <w:tc>
          <w:tcPr>
            <w:tcW w:w="142"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450,000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481,500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824" w:type="dxa"/>
            <w:tcBorders/>
            <w:shd w:fill="EFECE8" w:val="clear"/>
            <w:vAlign w:val="center"/>
          </w:tcPr>
          <w:p>
            <w:pPr>
              <w:pStyle w:val="TableContents"/>
              <w:bidi w:val="0"/>
              <w:spacing w:before="0" w:after="283"/>
              <w:jc w:val="right"/>
              <w:rPr/>
            </w:pPr>
            <w:r>
              <w:rPr/>
              <w:t>7.0%</w:t>
            </w:r>
          </w:p>
        </w:tc>
        <w:tc>
          <w:tcPr>
            <w:tcW w:w="142"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375,000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435,000</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16.0%</w:t>
            </w:r>
          </w:p>
        </w:tc>
        <w:tc>
          <w:tcPr>
            <w:tcW w:w="142" w:type="dxa"/>
            <w:tcBorders/>
            <w:vAlign w:val="center"/>
          </w:tcPr>
          <w:p>
            <w:pPr>
              <w:pStyle w:val="TableContents"/>
              <w:bidi w:val="0"/>
              <w:spacing w:before="0" w:after="283"/>
              <w:jc w:val="left"/>
              <w:rPr/>
            </w:pPr>
            <w:r>
              <w:rPr/>
              <w:t> </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40" w:type="dxa"/>
            <w:gridSpan w:val="5"/>
            <w:tcBorders/>
            <w:shd w:fill="EFECE8" w:val="clear"/>
            <w:vAlign w:val="center"/>
          </w:tcPr>
          <w:p>
            <w:pPr>
              <w:pStyle w:val="TableContents"/>
              <w:bidi w:val="0"/>
              <w:spacing w:before="0" w:after="283"/>
              <w:jc w:val="left"/>
              <w:rPr>
                <w:sz w:val="4"/>
                <w:szCs w:val="4"/>
              </w:rPr>
            </w:pPr>
            <w:r>
              <w:rPr>
                <w:sz w:val="4"/>
                <w:szCs w:val="4"/>
              </w:rPr>
            </w:r>
          </w:p>
        </w:tc>
        <w:tc>
          <w:tcPr>
            <w:tcW w:w="131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400,000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1" w:type="dxa"/>
            <w:tcBorders/>
            <w:shd w:fill="EFECE8" w:val="clear"/>
            <w:vAlign w:val="center"/>
          </w:tcPr>
          <w:p>
            <w:pPr>
              <w:pStyle w:val="TableContents"/>
              <w:bidi w:val="0"/>
              <w:spacing w:before="0" w:after="283"/>
              <w:jc w:val="left"/>
              <w:rPr/>
            </w:pPr>
            <w:r>
              <w:rPr/>
              <w:t> </w:t>
            </w:r>
          </w:p>
        </w:tc>
        <w:tc>
          <w:tcPr>
            <w:tcW w:w="166" w:type="dxa"/>
            <w:tcBorders/>
            <w:shd w:fill="EFECE8" w:val="clear"/>
            <w:vAlign w:val="center"/>
          </w:tcPr>
          <w:p>
            <w:pPr>
              <w:pStyle w:val="TableContents"/>
              <w:bidi w:val="0"/>
              <w:spacing w:before="0" w:after="283"/>
              <w:jc w:val="left"/>
              <w:rPr/>
            </w:pPr>
            <w:r>
              <w:rPr/>
              <w:t>$</w:t>
            </w:r>
          </w:p>
        </w:tc>
        <w:tc>
          <w:tcPr>
            <w:tcW w:w="954" w:type="dxa"/>
            <w:tcBorders/>
            <w:shd w:fill="EFECE8" w:val="clear"/>
            <w:vAlign w:val="center"/>
          </w:tcPr>
          <w:p>
            <w:pPr>
              <w:pStyle w:val="TableContents"/>
              <w:bidi w:val="0"/>
              <w:spacing w:before="0" w:after="283"/>
              <w:jc w:val="right"/>
              <w:rPr/>
            </w:pPr>
            <w:r>
              <w:rPr/>
              <w:t>400,000</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112" w:type="dxa"/>
            <w:tcBorders/>
            <w:shd w:fill="EFECE8" w:val="clear"/>
            <w:vAlign w:val="center"/>
          </w:tcPr>
          <w:p>
            <w:pPr>
              <w:pStyle w:val="TableContents"/>
              <w:bidi w:val="0"/>
              <w:spacing w:before="0" w:after="283"/>
              <w:jc w:val="left"/>
              <w:rPr/>
            </w:pPr>
            <w:r>
              <w:rPr/>
              <w:t> </w:t>
            </w:r>
          </w:p>
        </w:tc>
        <w:tc>
          <w:tcPr>
            <w:tcW w:w="824" w:type="dxa"/>
            <w:tcBorders/>
            <w:shd w:fill="EFECE8" w:val="clear"/>
            <w:vAlign w:val="center"/>
          </w:tcPr>
          <w:p>
            <w:pPr>
              <w:pStyle w:val="TableContents"/>
              <w:bidi w:val="0"/>
              <w:spacing w:before="0" w:after="283"/>
              <w:jc w:val="right"/>
              <w:rPr/>
            </w:pPr>
            <w:r>
              <w:rPr/>
              <w:t>0.0%</w:t>
            </w:r>
          </w:p>
        </w:tc>
        <w:tc>
          <w:tcPr>
            <w:tcW w:w="142"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40" w:type="dxa"/>
            <w:gridSpan w:val="5"/>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71" w:type="dxa"/>
            <w:tcBorders>
              <w:bottom w:val="single" w:sz="8" w:space="0" w:color="A41F35"/>
            </w:tcBorders>
            <w:tcMar>
              <w:bottom w:w="28" w:type="dxa"/>
            </w:tcMar>
            <w:vAlign w:val="center"/>
          </w:tcPr>
          <w:p>
            <w:pPr>
              <w:pStyle w:val="TableContents"/>
              <w:bidi w:val="0"/>
              <w:spacing w:before="0" w:after="283"/>
              <w:jc w:val="left"/>
              <w:rPr/>
            </w:pPr>
            <w:r>
              <w:rPr/>
              <w:t> </w:t>
            </w:r>
          </w:p>
        </w:tc>
        <w:tc>
          <w:tcPr>
            <w:tcW w:w="166" w:type="dxa"/>
            <w:tcBorders>
              <w:bottom w:val="single" w:sz="8" w:space="0" w:color="A41F35"/>
            </w:tcBorders>
            <w:tcMar>
              <w:bottom w:w="40" w:type="dxa"/>
            </w:tcMar>
            <w:vAlign w:val="center"/>
          </w:tcPr>
          <w:p>
            <w:pPr>
              <w:pStyle w:val="TableContents"/>
              <w:bidi w:val="0"/>
              <w:spacing w:before="0" w:after="283"/>
              <w:jc w:val="left"/>
              <w:rPr/>
            </w:pPr>
            <w:r>
              <w:rPr/>
              <w:t>$</w:t>
            </w:r>
          </w:p>
        </w:tc>
        <w:tc>
          <w:tcPr>
            <w:tcW w:w="954" w:type="dxa"/>
            <w:tcBorders>
              <w:bottom w:val="single" w:sz="8" w:space="0" w:color="A41F35"/>
            </w:tcBorders>
            <w:tcMar>
              <w:bottom w:w="40" w:type="dxa"/>
            </w:tcMar>
            <w:vAlign w:val="center"/>
          </w:tcPr>
          <w:p>
            <w:pPr>
              <w:pStyle w:val="TableContents"/>
              <w:bidi w:val="0"/>
              <w:spacing w:before="0" w:after="283"/>
              <w:jc w:val="right"/>
              <w:rPr/>
            </w:pPr>
            <w:r>
              <w:rPr/>
              <w:t>450,000</w:t>
            </w:r>
          </w:p>
        </w:tc>
        <w:tc>
          <w:tcPr>
            <w:tcW w:w="29"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71" w:type="dxa"/>
            <w:tcBorders>
              <w:bottom w:val="single" w:sz="8" w:space="0" w:color="A41F35"/>
            </w:tcBorders>
            <w:tcMar>
              <w:bottom w:w="28" w:type="dxa"/>
            </w:tcMar>
            <w:vAlign w:val="center"/>
          </w:tcPr>
          <w:p>
            <w:pPr>
              <w:pStyle w:val="TableContents"/>
              <w:bidi w:val="0"/>
              <w:spacing w:before="0" w:after="283"/>
              <w:jc w:val="left"/>
              <w:rPr/>
            </w:pPr>
            <w:r>
              <w:rPr/>
              <w:t> </w:t>
            </w:r>
          </w:p>
        </w:tc>
        <w:tc>
          <w:tcPr>
            <w:tcW w:w="166" w:type="dxa"/>
            <w:tcBorders>
              <w:bottom w:val="single" w:sz="8" w:space="0" w:color="A41F35"/>
            </w:tcBorders>
            <w:tcMar>
              <w:bottom w:w="40" w:type="dxa"/>
            </w:tcMar>
            <w:vAlign w:val="center"/>
          </w:tcPr>
          <w:p>
            <w:pPr>
              <w:pStyle w:val="TableContents"/>
              <w:bidi w:val="0"/>
              <w:spacing w:before="0" w:after="283"/>
              <w:jc w:val="left"/>
              <w:rPr/>
            </w:pPr>
            <w:r>
              <w:rPr/>
              <w:t>$</w:t>
            </w:r>
          </w:p>
        </w:tc>
        <w:tc>
          <w:tcPr>
            <w:tcW w:w="954" w:type="dxa"/>
            <w:tcBorders>
              <w:bottom w:val="single" w:sz="8" w:space="0" w:color="A41F35"/>
            </w:tcBorders>
            <w:tcMar>
              <w:bottom w:w="40" w:type="dxa"/>
            </w:tcMar>
            <w:vAlign w:val="center"/>
          </w:tcPr>
          <w:p>
            <w:pPr>
              <w:pStyle w:val="TableContents"/>
              <w:bidi w:val="0"/>
              <w:spacing w:before="0" w:after="283"/>
              <w:jc w:val="right"/>
              <w:rPr/>
            </w:pPr>
            <w:r>
              <w:rPr/>
              <w:t>477,000</w:t>
            </w:r>
          </w:p>
        </w:tc>
        <w:tc>
          <w:tcPr>
            <w:tcW w:w="29"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12" w:type="dxa"/>
            <w:tcBorders>
              <w:bottom w:val="single" w:sz="8" w:space="0" w:color="A41F35"/>
            </w:tcBorders>
            <w:tcMar>
              <w:bottom w:w="28" w:type="dxa"/>
            </w:tcMar>
            <w:vAlign w:val="center"/>
          </w:tcPr>
          <w:p>
            <w:pPr>
              <w:pStyle w:val="TableContents"/>
              <w:bidi w:val="0"/>
              <w:spacing w:before="0" w:after="283"/>
              <w:jc w:val="left"/>
              <w:rPr/>
            </w:pPr>
            <w:r>
              <w:rPr/>
              <w:t> </w:t>
            </w:r>
          </w:p>
        </w:tc>
        <w:tc>
          <w:tcPr>
            <w:tcW w:w="112" w:type="dxa"/>
            <w:tcBorders>
              <w:bottom w:val="single" w:sz="8" w:space="0" w:color="A41F35"/>
            </w:tcBorders>
            <w:tcMar>
              <w:bottom w:w="40" w:type="dxa"/>
            </w:tcMar>
            <w:vAlign w:val="center"/>
          </w:tcPr>
          <w:p>
            <w:pPr>
              <w:pStyle w:val="TableContents"/>
              <w:bidi w:val="0"/>
              <w:spacing w:before="0" w:after="283"/>
              <w:jc w:val="left"/>
              <w:rPr/>
            </w:pPr>
            <w:r>
              <w:rPr/>
              <w:t> </w:t>
            </w:r>
          </w:p>
        </w:tc>
        <w:tc>
          <w:tcPr>
            <w:tcW w:w="824" w:type="dxa"/>
            <w:tcBorders>
              <w:bottom w:val="single" w:sz="8" w:space="0" w:color="A41F35"/>
            </w:tcBorders>
            <w:tcMar>
              <w:bottom w:w="40" w:type="dxa"/>
            </w:tcMar>
            <w:vAlign w:val="center"/>
          </w:tcPr>
          <w:p>
            <w:pPr>
              <w:pStyle w:val="TableContents"/>
              <w:bidi w:val="0"/>
              <w:spacing w:before="0" w:after="283"/>
              <w:jc w:val="right"/>
              <w:rPr/>
            </w:pPr>
            <w:r>
              <w:rPr/>
              <w:t>6.0%</w:t>
            </w:r>
          </w:p>
        </w:tc>
        <w:tc>
          <w:tcPr>
            <w:tcW w:w="142" w:type="dxa"/>
            <w:tcBorders>
              <w:bottom w:val="single" w:sz="8" w:space="0" w:color="A41F35"/>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283"/>
              <w:jc w:val="left"/>
              <w:rPr/>
            </w:pPr>
            <w:r>
              <w:rPr/>
              <w:t>1)</w:t>
            </w:r>
          </w:p>
        </w:tc>
        <w:tc>
          <w:tcPr>
            <w:tcW w:w="9290" w:type="dxa"/>
            <w:tcBorders/>
            <w:vAlign w:val="center"/>
          </w:tcPr>
          <w:p>
            <w:pPr>
              <w:pStyle w:val="TableContents"/>
              <w:bidi w:val="0"/>
              <w:spacing w:before="0" w:after="0"/>
              <w:jc w:val="left"/>
              <w:rPr>
                <w:rFonts w:ascii="arial" w:hAnsi="arial"/>
                <w:sz w:val="16"/>
              </w:rPr>
            </w:pPr>
            <w:r>
              <w:rPr>
                <w:rFonts w:ascii="arial" w:hAnsi="arial"/>
                <w:sz w:val="16"/>
              </w:rPr>
              <w:t xml:space="preserve">Mr. Hernandez joined the Company effective December 2, 2024. The annual base salary listed in the table above is annualized. </w:t>
            </w:r>
          </w:p>
        </w:tc>
      </w:tr>
    </w:tbl>
    <w:p>
      <w:pPr>
        <w:pStyle w:val="TextBody"/>
        <w:bidi w:val="0"/>
        <w:spacing w:before="160" w:after="0"/>
        <w:jc w:val="left"/>
        <w:rPr>
          <w:rFonts w:ascii="arial" w:hAnsi="arial"/>
          <w:sz w:val="18"/>
        </w:rPr>
      </w:pPr>
      <w:r>
        <w:rPr>
          <w:rFonts w:ascii="arial" w:hAnsi="arial"/>
          <w:sz w:val="18"/>
        </w:rPr>
        <w:t xml:space="preserve">Following a review of the factors described above, the Compensation Committee approved the increases above to improve the NEOs’ competitive positions relative to the compensation peer group median, determined as described above. Mr. Corcoran’s base salary increase was intended to both to enhance his competitive positioning relative to market and recognize his strong individual performance. Consistent with our internal compensation practices, Mr. Ranganath was not eligible for a base salary increase in 2024 because he was hired, and his base salary was initially established, in June 2023. </w:t>
      </w:r>
    </w:p>
    <w:p>
      <w:pPr>
        <w:pStyle w:val="TextBody"/>
        <w:bidi w:val="0"/>
        <w:spacing w:before="360" w:after="0"/>
        <w:jc w:val="left"/>
        <w:rPr>
          <w:rFonts w:ascii="arial" w:hAnsi="arial"/>
          <w:b/>
          <w:color w:val="A41F35"/>
          <w:sz w:val="28"/>
        </w:rPr>
      </w:pPr>
      <w:r>
        <w:rPr>
          <w:rFonts w:ascii="arial" w:hAnsi="arial"/>
          <w:b/>
          <w:color w:val="A41F35"/>
          <w:sz w:val="28"/>
        </w:rPr>
        <w:t xml:space="preserve">Annual Bonuses </w:t>
      </w:r>
    </w:p>
    <w:p>
      <w:pPr>
        <w:pStyle w:val="TextBody"/>
        <w:bidi w:val="0"/>
        <w:spacing w:before="120" w:after="0"/>
        <w:jc w:val="left"/>
        <w:rPr>
          <w:rFonts w:ascii="arial" w:hAnsi="arial"/>
          <w:sz w:val="18"/>
        </w:rPr>
      </w:pPr>
      <w:r>
        <w:rPr>
          <w:rFonts w:ascii="arial" w:hAnsi="arial"/>
          <w:sz w:val="18"/>
        </w:rPr>
        <w:t xml:space="preserve">Our Compensation Committee believes that a significant portion of our named executive officers’ cash compensation should be tied to our performance. Each of our named executive officers is eligible to receive an annual bonus based on the achievement of certain financial and strategic performance goals related to revenue growth, and regulatory and business goals. Target annual bonus opportunities are initially determined and thereafter reviewed annually by our Compensation Committee based on the same factors as described above for base salary. Actual awards can range from 0% to 200% of target depending on performance.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26</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For 2024, our Compensation Committee reviewed the target annual bonus opportunities for our named executive officers and, considering the factors described above and relevant market data, increased the target annual bonuses for Drs. Hassanein and Khayal and Messrs. Corcoran and Gordon to be more competitive within our compensation peer group. The 2024 target annual bonus opportunities for our named executive officers were as follows: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2285"/>
        <w:gridCol w:w="120"/>
        <w:gridCol w:w="164"/>
        <w:gridCol w:w="164"/>
        <w:gridCol w:w="1044"/>
        <w:gridCol w:w="208"/>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Named Executive Officer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80" w:type="dxa"/>
            <w:gridSpan w:val="4"/>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2024 Target</w:t>
              <w:br/>
              <w:t>Annual Bonus</w:t>
              <w:br/>
              <w:t>Opportunity</w:t>
            </w:r>
          </w:p>
          <w:p>
            <w:pPr>
              <w:pStyle w:val="TableContents"/>
              <w:bidi w:val="0"/>
              <w:spacing w:before="0" w:after="20"/>
              <w:jc w:val="center"/>
              <w:rPr>
                <w:rFonts w:ascii="arial" w:hAnsi="arial"/>
                <w:b/>
                <w:sz w:val="16"/>
              </w:rPr>
            </w:pPr>
            <w:r>
              <w:rPr>
                <w:rFonts w:ascii="arial" w:hAnsi="arial"/>
                <w:b/>
                <w:sz w:val="16"/>
              </w:rPr>
              <w:t>(As a Percentage of</w:t>
              <w:br/>
              <w:t>Base Salary)</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7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044" w:type="dxa"/>
            <w:tcBorders/>
            <w:shd w:fill="EFECE8" w:val="clear"/>
            <w:vAlign w:val="center"/>
          </w:tcPr>
          <w:p>
            <w:pPr>
              <w:pStyle w:val="TableContents"/>
              <w:bidi w:val="0"/>
              <w:spacing w:before="0" w:after="283"/>
              <w:jc w:val="right"/>
              <w:rPr/>
            </w:pPr>
            <w:r>
              <w:rPr/>
              <w:t>100%</w:t>
            </w:r>
          </w:p>
        </w:tc>
        <w:tc>
          <w:tcPr>
            <w:tcW w:w="208"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Hernandez(1)</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n/a</w:t>
            </w:r>
          </w:p>
        </w:tc>
        <w:tc>
          <w:tcPr>
            <w:tcW w:w="208"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7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044" w:type="dxa"/>
            <w:tcBorders/>
            <w:shd w:fill="EFECE8" w:val="clear"/>
            <w:vAlign w:val="center"/>
          </w:tcPr>
          <w:p>
            <w:pPr>
              <w:pStyle w:val="TableContents"/>
              <w:bidi w:val="0"/>
              <w:spacing w:before="0" w:after="283"/>
              <w:jc w:val="right"/>
              <w:rPr/>
            </w:pPr>
            <w:r>
              <w:rPr/>
              <w:t>60%</w:t>
            </w:r>
          </w:p>
        </w:tc>
        <w:tc>
          <w:tcPr>
            <w:tcW w:w="208"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45%</w:t>
            </w:r>
          </w:p>
        </w:tc>
        <w:tc>
          <w:tcPr>
            <w:tcW w:w="208" w:type="dxa"/>
            <w:tcBorders/>
            <w:vAlign w:val="center"/>
          </w:tcPr>
          <w:p>
            <w:pPr>
              <w:pStyle w:val="TableContents"/>
              <w:bidi w:val="0"/>
              <w:spacing w:before="0" w:after="283"/>
              <w:jc w:val="left"/>
              <w:rPr/>
            </w:pPr>
            <w:r>
              <w:rPr/>
              <w:t> </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7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64" w:type="dxa"/>
            <w:tcBorders/>
            <w:shd w:fill="EFECE8" w:val="clear"/>
            <w:vAlign w:val="center"/>
          </w:tcPr>
          <w:p>
            <w:pPr>
              <w:pStyle w:val="TableContents"/>
              <w:bidi w:val="0"/>
              <w:spacing w:before="0" w:after="283"/>
              <w:jc w:val="left"/>
              <w:rPr/>
            </w:pPr>
            <w:r>
              <w:rPr/>
              <w:t> </w:t>
            </w:r>
          </w:p>
        </w:tc>
        <w:tc>
          <w:tcPr>
            <w:tcW w:w="1044" w:type="dxa"/>
            <w:tcBorders/>
            <w:shd w:fill="EFECE8" w:val="clear"/>
            <w:vAlign w:val="center"/>
          </w:tcPr>
          <w:p>
            <w:pPr>
              <w:pStyle w:val="TableContents"/>
              <w:bidi w:val="0"/>
              <w:spacing w:before="0" w:after="283"/>
              <w:jc w:val="right"/>
              <w:rPr/>
            </w:pPr>
            <w:r>
              <w:rPr/>
              <w:t>45%</w:t>
            </w:r>
          </w:p>
        </w:tc>
        <w:tc>
          <w:tcPr>
            <w:tcW w:w="208"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4" w:type="dxa"/>
            <w:tcBorders>
              <w:bottom w:val="single" w:sz="8" w:space="0" w:color="A41F35"/>
            </w:tcBorders>
            <w:tcMar>
              <w:bottom w:w="28" w:type="dxa"/>
            </w:tcMar>
            <w:vAlign w:val="center"/>
          </w:tcPr>
          <w:p>
            <w:pPr>
              <w:pStyle w:val="TableContents"/>
              <w:bidi w:val="0"/>
              <w:spacing w:before="0" w:after="283"/>
              <w:jc w:val="left"/>
              <w:rPr/>
            </w:pPr>
            <w:r>
              <w:rPr/>
              <w:t> </w:t>
            </w:r>
          </w:p>
        </w:tc>
        <w:tc>
          <w:tcPr>
            <w:tcW w:w="164" w:type="dxa"/>
            <w:tcBorders>
              <w:bottom w:val="single" w:sz="8" w:space="0" w:color="A41F35"/>
            </w:tcBorders>
            <w:tcMar>
              <w:bottom w:w="40" w:type="dxa"/>
            </w:tcMar>
            <w:vAlign w:val="center"/>
          </w:tcPr>
          <w:p>
            <w:pPr>
              <w:pStyle w:val="TableContents"/>
              <w:bidi w:val="0"/>
              <w:spacing w:before="0" w:after="283"/>
              <w:jc w:val="left"/>
              <w:rPr/>
            </w:pPr>
            <w:r>
              <w:rPr/>
              <w:t> </w:t>
            </w:r>
          </w:p>
        </w:tc>
        <w:tc>
          <w:tcPr>
            <w:tcW w:w="1044" w:type="dxa"/>
            <w:tcBorders>
              <w:bottom w:val="single" w:sz="8" w:space="0" w:color="A41F35"/>
            </w:tcBorders>
            <w:tcMar>
              <w:bottom w:w="40" w:type="dxa"/>
            </w:tcMar>
            <w:vAlign w:val="center"/>
          </w:tcPr>
          <w:p>
            <w:pPr>
              <w:pStyle w:val="TableContents"/>
              <w:bidi w:val="0"/>
              <w:spacing w:before="0" w:after="283"/>
              <w:jc w:val="right"/>
              <w:rPr/>
            </w:pPr>
            <w:r>
              <w:rPr/>
              <w:t>60%</w:t>
            </w:r>
          </w:p>
        </w:tc>
        <w:tc>
          <w:tcPr>
            <w:tcW w:w="208" w:type="dxa"/>
            <w:tcBorders>
              <w:bottom w:val="single" w:sz="8" w:space="0" w:color="A41F35"/>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230"/>
        <w:gridCol w:w="8255"/>
      </w:tblGrid>
      <w:tr>
        <w:trPr/>
        <w:tc>
          <w:tcPr>
            <w:tcW w:w="230" w:type="dxa"/>
            <w:tcBorders/>
            <w:vAlign w:val="center"/>
          </w:tcPr>
          <w:p>
            <w:pPr>
              <w:pStyle w:val="TableContents"/>
              <w:bidi w:val="0"/>
              <w:spacing w:before="0" w:after="283"/>
              <w:jc w:val="left"/>
              <w:rPr/>
            </w:pPr>
            <w:r>
              <w:rPr/>
              <w:t>1)</w:t>
            </w:r>
          </w:p>
        </w:tc>
        <w:tc>
          <w:tcPr>
            <w:tcW w:w="8255" w:type="dxa"/>
            <w:tcBorders/>
            <w:vAlign w:val="center"/>
          </w:tcPr>
          <w:p>
            <w:pPr>
              <w:pStyle w:val="TableContents"/>
              <w:bidi w:val="0"/>
              <w:spacing w:before="0" w:after="0"/>
              <w:jc w:val="left"/>
              <w:rPr>
                <w:rFonts w:ascii="arial" w:hAnsi="arial"/>
                <w:sz w:val="16"/>
              </w:rPr>
            </w:pPr>
            <w:r>
              <w:rPr>
                <w:rFonts w:ascii="arial" w:hAnsi="arial"/>
                <w:sz w:val="16"/>
              </w:rPr>
              <w:t xml:space="preserve">Mr. Hernandez joined the Company effective December 2, 2024. He was not eligible for an annual bonus in 2024. </w:t>
            </w:r>
          </w:p>
        </w:tc>
      </w:tr>
    </w:tbl>
    <w:p>
      <w:pPr>
        <w:pStyle w:val="TextBody"/>
        <w:bidi w:val="0"/>
        <w:spacing w:before="360" w:after="0"/>
        <w:jc w:val="left"/>
        <w:rPr>
          <w:rFonts w:ascii="arial" w:hAnsi="arial"/>
          <w:b/>
          <w:sz w:val="20"/>
        </w:rPr>
      </w:pPr>
      <w:r>
        <w:rPr>
          <w:rFonts w:ascii="arial" w:hAnsi="arial"/>
          <w:b/>
          <w:sz w:val="20"/>
        </w:rPr>
        <w:t xml:space="preserve">2024 Performance Goals </w:t>
      </w:r>
    </w:p>
    <w:p>
      <w:pPr>
        <w:pStyle w:val="TextBody"/>
        <w:bidi w:val="0"/>
        <w:spacing w:before="120" w:after="0"/>
        <w:jc w:val="left"/>
        <w:rPr>
          <w:rFonts w:ascii="arial" w:hAnsi="arial"/>
          <w:sz w:val="18"/>
        </w:rPr>
      </w:pPr>
      <w:r>
        <w:rPr>
          <w:rFonts w:ascii="arial" w:hAnsi="arial"/>
          <w:sz w:val="18"/>
        </w:rPr>
        <w:t xml:space="preserve">Our Compensation Committee determines the performance metrics and goals for our annual bonus program in the beginning of each year based on input from management and our annual business plan. Our Compensation Committee strives to set challenging, yet achievable, performance goals that will promote the achievement of short-term business objectives that are important to our annual business plan. The performance metrics for annual bonuses include financial and non-financial strategic goals that reflect our growth strategy and purpose. </w:t>
      </w:r>
    </w:p>
    <w:p>
      <w:pPr>
        <w:pStyle w:val="TextBody"/>
        <w:bidi w:val="0"/>
        <w:spacing w:before="160" w:after="0"/>
        <w:jc w:val="left"/>
        <w:rPr>
          <w:rFonts w:ascii="arial" w:hAnsi="arial"/>
          <w:sz w:val="18"/>
        </w:rPr>
      </w:pPr>
      <w:r>
        <w:rPr>
          <w:rFonts w:ascii="arial" w:hAnsi="arial"/>
          <w:sz w:val="18"/>
        </w:rPr>
        <w:t xml:space="preserve">In 2024, our Compensation Committee determined bonus payouts based on a formulaic measurement of revenue performance against budget and additionally considered our achievement of non-financial strategic goals when reviewing performance,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Threshold:</w:t>
            </w:r>
            <w:r>
              <w:rPr>
                <w:rFonts w:ascii="arial" w:hAnsi="arial"/>
                <w:sz w:val="18"/>
              </w:rPr>
              <w:t xml:space="preserve"> In order for any bonus to be earned, we must achieve 2024 revenue of at least $314.5M (85% of our 2024 revenue target) </w:t>
            </w:r>
            <w:r>
              <w:rPr>
                <w:rFonts w:ascii="arial" w:hAnsi="arial"/>
                <w:b/>
                <w:i/>
                <w:sz w:val="18"/>
                <w:u w:val="single"/>
              </w:rPr>
              <w:t>and</w:t>
            </w:r>
            <w:r>
              <w:rPr>
                <w:rFonts w:ascii="arial" w:hAnsi="arial"/>
                <w:sz w:val="18"/>
              </w:rPr>
              <w:t xml:space="preserve"> three out of four of our “impact factor one” goals. “Impact factor two” goals are used to measure functional and individual performance and are considered by our Compensation Committee in determining whether any adjustments are appropriate.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sz w:val="18"/>
              </w:rPr>
            </w:pPr>
            <w:r>
              <w:rPr>
                <w:rFonts w:ascii="arial" w:hAnsi="arial"/>
                <w:b/>
                <w:sz w:val="18"/>
              </w:rPr>
              <w:t>Target:</w:t>
            </w:r>
            <w:r>
              <w:rPr>
                <w:rFonts w:ascii="arial" w:hAnsi="arial"/>
                <w:sz w:val="18"/>
              </w:rPr>
              <w:t xml:space="preserve"> Bonuses will be earned at 100% of target if our 2024 target revenue goal of $370M is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A41F35"/>
              </w:rPr>
            </w:pPr>
            <w:r>
              <w:rPr>
                <w:color w:val="A41F35"/>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 xml:space="preserve">Maximum Bonus: </w:t>
            </w:r>
            <w:r>
              <w:rPr>
                <w:rFonts w:ascii="arial" w:hAnsi="arial"/>
                <w:sz w:val="18"/>
              </w:rPr>
              <w:t xml:space="preserve">Bonuses will be earned at 200% of target if our 2024 revenue is achieved at or above $435M, which is 180% growth over the prior year.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If our revenue was between the threshold and target or the target and maximum performance thresholds, the amount of the bonus earned would be determined based on linear interpolation between such thresholds. Our Compensation Committee may also consider individual performance contributions and retains the discretion to adjust bonus payouts downward or upward based on its assessment of each named executive officer’s contribution to the Company during the year, as well as the achievement of strategic goals. The specific metrics and goals that were approved by our Compensation Committee for 2024, as well as the actual achievement results, are outlined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3"/>
        <w:gridCol w:w="120"/>
        <w:gridCol w:w="7716"/>
        <w:gridCol w:w="120"/>
        <w:gridCol w:w="906"/>
      </w:tblGrid>
      <w:tr>
        <w:trPr/>
        <w:tc>
          <w:tcPr>
            <w:tcW w:w="13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9179" w:type="dxa"/>
            <w:gridSpan w:val="3"/>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2024 Performance Metrics and Goals</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06" w:type="dxa"/>
            <w:tcBorders>
              <w:bottom w:val="single" w:sz="16" w:space="0" w:color="A41F35"/>
            </w:tcBorders>
            <w:tcMar>
              <w:bottom w:w="40" w:type="dxa"/>
            </w:tcMar>
            <w:vAlign w:val="center"/>
          </w:tcPr>
          <w:p>
            <w:pPr>
              <w:pStyle w:val="TableContents"/>
              <w:bidi w:val="0"/>
              <w:spacing w:before="0" w:after="283"/>
              <w:jc w:val="center"/>
              <w:rPr>
                <w:b/>
              </w:rPr>
            </w:pPr>
            <w:r>
              <w:rPr>
                <w:b/>
              </w:rPr>
              <w:t>Results</w:t>
            </w:r>
          </w:p>
        </w:tc>
      </w:tr>
      <w:tr>
        <w:trPr/>
        <w:tc>
          <w:tcPr>
            <w:tcW w:w="1343" w:type="dxa"/>
            <w:tcBorders/>
            <w:shd w:fill="EFECE8" w:val="clear"/>
            <w:vAlign w:val="center"/>
          </w:tcPr>
          <w:p>
            <w:pPr>
              <w:pStyle w:val="TableContents"/>
              <w:bidi w:val="0"/>
              <w:spacing w:before="0" w:after="283"/>
              <w:jc w:val="left"/>
              <w:rPr>
                <w:sz w:val="4"/>
                <w:szCs w:val="4"/>
              </w:rPr>
            </w:pPr>
            <w:r>
              <w:rPr>
                <w:sz w:val="4"/>
                <w:szCs w:val="4"/>
              </w:rPr>
            </w:r>
          </w:p>
        </w:tc>
        <w:tc>
          <w:tcPr>
            <w:tcW w:w="7836" w:type="dxa"/>
            <w:gridSpan w:val="2"/>
            <w:tcBorders/>
            <w:shd w:fill="EFECE8" w:val="clear"/>
            <w:vAlign w:val="center"/>
          </w:tcPr>
          <w:p>
            <w:pPr>
              <w:pStyle w:val="TableContents"/>
              <w:bidi w:val="0"/>
              <w:spacing w:before="0" w:after="283"/>
              <w:jc w:val="left"/>
              <w:rPr>
                <w:sz w:val="4"/>
                <w:szCs w:val="4"/>
              </w:rPr>
            </w:pPr>
            <w:r>
              <w:rPr>
                <w:sz w:val="4"/>
                <w:szCs w:val="4"/>
              </w:rPr>
            </w:r>
          </w:p>
        </w:tc>
        <w:tc>
          <w:tcPr>
            <w:tcW w:w="1026"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343" w:type="dxa"/>
            <w:tcBorders/>
            <w:shd w:fill="EFECE8" w:val="clear"/>
            <w:vAlign w:val="center"/>
          </w:tcPr>
          <w:p>
            <w:pPr>
              <w:pStyle w:val="TableContents"/>
              <w:bidi w:val="0"/>
              <w:spacing w:before="0" w:after="0"/>
              <w:jc w:val="left"/>
              <w:rPr>
                <w:rFonts w:ascii="arial" w:hAnsi="arial"/>
                <w:sz w:val="18"/>
              </w:rPr>
            </w:pPr>
            <w:r>
              <w:rPr>
                <w:rFonts w:ascii="arial" w:hAnsi="arial"/>
                <w:sz w:val="18"/>
              </w:rPr>
              <w:t>Revenue</w:t>
            </w:r>
          </w:p>
        </w:tc>
        <w:tc>
          <w:tcPr>
            <w:tcW w:w="120" w:type="dxa"/>
            <w:tcBorders/>
            <w:shd w:fill="EFECE8" w:val="clear"/>
            <w:vAlign w:val="center"/>
          </w:tcPr>
          <w:p>
            <w:pPr>
              <w:pStyle w:val="TableContents"/>
              <w:bidi w:val="0"/>
              <w:spacing w:before="0" w:after="283"/>
              <w:jc w:val="left"/>
              <w:rPr/>
            </w:pPr>
            <w:r>
              <w:rPr/>
              <w:t>  </w:t>
            </w:r>
          </w:p>
        </w:tc>
        <w:tc>
          <w:tcPr>
            <w:tcW w:w="7716" w:type="dxa"/>
            <w:tcBorders/>
            <w:shd w:fill="EFECE8" w:val="clear"/>
            <w:vAlign w:val="center"/>
          </w:tcPr>
          <w:p>
            <w:pPr>
              <w:pStyle w:val="TableContents"/>
              <w:bidi w:val="0"/>
              <w:spacing w:before="0" w:after="283"/>
              <w:jc w:val="left"/>
              <w:rPr/>
            </w:pPr>
            <w:r>
              <w:rPr/>
              <w:t>Revenue target of $370M</w:t>
            </w:r>
          </w:p>
        </w:tc>
        <w:tc>
          <w:tcPr>
            <w:tcW w:w="120" w:type="dxa"/>
            <w:tcBorders/>
            <w:shd w:fill="EFECE8" w:val="clear"/>
            <w:vAlign w:val="center"/>
          </w:tcPr>
          <w:p>
            <w:pPr>
              <w:pStyle w:val="TableContents"/>
              <w:bidi w:val="0"/>
              <w:spacing w:before="0" w:after="283"/>
              <w:jc w:val="left"/>
              <w:rPr/>
            </w:pPr>
            <w:r>
              <w:rPr/>
              <w:t>  </w:t>
            </w:r>
          </w:p>
        </w:tc>
        <w:tc>
          <w:tcPr>
            <w:tcW w:w="906" w:type="dxa"/>
            <w:tcBorders/>
            <w:shd w:fill="EFECE8" w:val="clear"/>
            <w:vAlign w:val="center"/>
          </w:tcPr>
          <w:p>
            <w:pPr>
              <w:pStyle w:val="TableContents"/>
              <w:bidi w:val="0"/>
              <w:spacing w:before="0" w:after="283"/>
              <w:jc w:val="center"/>
              <w:rPr/>
            </w:pPr>
            <w:r>
              <w:rPr/>
              <w:t>$441.5M</w:t>
            </w:r>
          </w:p>
        </w:tc>
      </w:tr>
      <w:tr>
        <w:trPr/>
        <w:tc>
          <w:tcPr>
            <w:tcW w:w="1343" w:type="dxa"/>
            <w:tcBorders/>
            <w:vAlign w:val="center"/>
          </w:tcPr>
          <w:p>
            <w:pPr>
              <w:pStyle w:val="TableContents"/>
              <w:bidi w:val="0"/>
              <w:spacing w:before="0" w:after="283"/>
              <w:jc w:val="left"/>
              <w:rPr>
                <w:sz w:val="4"/>
                <w:szCs w:val="4"/>
              </w:rPr>
            </w:pPr>
            <w:r>
              <w:rPr>
                <w:sz w:val="4"/>
                <w:szCs w:val="4"/>
              </w:rPr>
            </w:r>
          </w:p>
        </w:tc>
        <w:tc>
          <w:tcPr>
            <w:tcW w:w="7836" w:type="dxa"/>
            <w:gridSpan w:val="2"/>
            <w:tcBorders/>
            <w:vAlign w:val="center"/>
          </w:tcPr>
          <w:p>
            <w:pPr>
              <w:pStyle w:val="TableContents"/>
              <w:bidi w:val="0"/>
              <w:spacing w:before="0" w:after="283"/>
              <w:jc w:val="left"/>
              <w:rPr>
                <w:sz w:val="4"/>
                <w:szCs w:val="4"/>
              </w:rPr>
            </w:pPr>
            <w:r>
              <w:rPr>
                <w:sz w:val="4"/>
                <w:szCs w:val="4"/>
              </w:rPr>
            </w:r>
          </w:p>
        </w:tc>
        <w:tc>
          <w:tcPr>
            <w:tcW w:w="1026" w:type="dxa"/>
            <w:gridSpan w:val="2"/>
            <w:tcBorders/>
            <w:vAlign w:val="center"/>
          </w:tcPr>
          <w:p>
            <w:pPr>
              <w:pStyle w:val="TableContents"/>
              <w:bidi w:val="0"/>
              <w:spacing w:before="0" w:after="283"/>
              <w:jc w:val="left"/>
              <w:rPr>
                <w:sz w:val="4"/>
                <w:szCs w:val="4"/>
              </w:rPr>
            </w:pPr>
            <w:r>
              <w:rPr>
                <w:sz w:val="4"/>
                <w:szCs w:val="4"/>
              </w:rPr>
            </w:r>
          </w:p>
        </w:tc>
      </w:tr>
      <w:tr>
        <w:trPr/>
        <w:tc>
          <w:tcPr>
            <w:tcW w:w="1343" w:type="dxa"/>
            <w:vMerge w:val="restart"/>
            <w:tcBorders/>
            <w:vAlign w:val="center"/>
          </w:tcPr>
          <w:p>
            <w:pPr>
              <w:pStyle w:val="TableContents"/>
              <w:bidi w:val="0"/>
              <w:spacing w:before="0" w:after="0"/>
              <w:jc w:val="left"/>
              <w:rPr>
                <w:rFonts w:ascii="arial" w:hAnsi="arial"/>
                <w:sz w:val="18"/>
              </w:rPr>
            </w:pPr>
            <w:r>
              <w:rPr>
                <w:rFonts w:ascii="arial" w:hAnsi="arial"/>
                <w:sz w:val="18"/>
              </w:rPr>
              <w:t>Impact Factor One</w:t>
            </w:r>
          </w:p>
        </w:tc>
        <w:tc>
          <w:tcPr>
            <w:tcW w:w="12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283"/>
              <w:jc w:val="left"/>
              <w:rPr/>
            </w:pPr>
            <w:r>
              <w:rPr/>
              <w:t>Scaling TransMedics Aviation to a minimum of 16 planes by September 30, 2024</w:t>
            </w:r>
          </w:p>
        </w:tc>
        <w:tc>
          <w:tcPr>
            <w:tcW w:w="12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center"/>
              <w:rPr/>
            </w:pPr>
            <w:r>
              <w:rPr/>
              <w:t>Met</w:t>
            </w:r>
          </w:p>
        </w:tc>
      </w:tr>
      <w:tr>
        <w:trPr/>
        <w:tc>
          <w:tcPr>
            <w:tcW w:w="13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283"/>
              <w:jc w:val="left"/>
              <w:rPr/>
            </w:pPr>
            <w:r>
              <w:rPr/>
              <w:t>Initiation of a US Lung clinical program/trial by December 31, 2024</w:t>
            </w:r>
          </w:p>
        </w:tc>
        <w:tc>
          <w:tcPr>
            <w:tcW w:w="12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center"/>
              <w:rPr/>
            </w:pPr>
            <w:r>
              <w:rPr/>
              <w:t>Not Met</w:t>
            </w:r>
          </w:p>
        </w:tc>
      </w:tr>
      <w:tr>
        <w:trPr/>
        <w:tc>
          <w:tcPr>
            <w:tcW w:w="13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283"/>
              <w:jc w:val="left"/>
              <w:rPr/>
            </w:pPr>
            <w:r>
              <w:rPr/>
              <w:t>Completion of ERP upgrade and HRIS implementation by December 31, 2024</w:t>
            </w:r>
          </w:p>
        </w:tc>
        <w:tc>
          <w:tcPr>
            <w:tcW w:w="12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center"/>
              <w:rPr/>
            </w:pPr>
            <w:r>
              <w:rPr/>
              <w:t>Met</w:t>
            </w:r>
          </w:p>
        </w:tc>
      </w:tr>
      <w:tr>
        <w:trPr/>
        <w:tc>
          <w:tcPr>
            <w:tcW w:w="13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283"/>
              <w:jc w:val="left"/>
              <w:rPr/>
            </w:pPr>
            <w:r>
              <w:rPr/>
              <w:t>PMA submission of 2 new assembly improvements for current OCS modules by December 31, 2024</w:t>
            </w:r>
          </w:p>
        </w:tc>
        <w:tc>
          <w:tcPr>
            <w:tcW w:w="120"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center"/>
              <w:rPr/>
            </w:pPr>
            <w:r>
              <w:rPr/>
              <w:t>Met</w:t>
            </w:r>
          </w:p>
        </w:tc>
      </w:tr>
      <w:tr>
        <w:trPr/>
        <w:tc>
          <w:tcPr>
            <w:tcW w:w="1343" w:type="dxa"/>
            <w:tcBorders/>
            <w:shd w:fill="EFECE8" w:val="clear"/>
            <w:vAlign w:val="center"/>
          </w:tcPr>
          <w:p>
            <w:pPr>
              <w:pStyle w:val="TableContents"/>
              <w:bidi w:val="0"/>
              <w:spacing w:before="0" w:after="283"/>
              <w:jc w:val="left"/>
              <w:rPr>
                <w:sz w:val="4"/>
                <w:szCs w:val="4"/>
              </w:rPr>
            </w:pPr>
            <w:r>
              <w:rPr>
                <w:sz w:val="4"/>
                <w:szCs w:val="4"/>
              </w:rPr>
            </w:r>
          </w:p>
        </w:tc>
        <w:tc>
          <w:tcPr>
            <w:tcW w:w="7836" w:type="dxa"/>
            <w:gridSpan w:val="2"/>
            <w:tcBorders/>
            <w:shd w:fill="EFECE8" w:val="clear"/>
            <w:vAlign w:val="center"/>
          </w:tcPr>
          <w:p>
            <w:pPr>
              <w:pStyle w:val="TableContents"/>
              <w:bidi w:val="0"/>
              <w:spacing w:before="0" w:after="283"/>
              <w:jc w:val="left"/>
              <w:rPr>
                <w:sz w:val="4"/>
                <w:szCs w:val="4"/>
              </w:rPr>
            </w:pPr>
            <w:r>
              <w:rPr>
                <w:sz w:val="4"/>
                <w:szCs w:val="4"/>
              </w:rPr>
            </w:r>
          </w:p>
        </w:tc>
        <w:tc>
          <w:tcPr>
            <w:tcW w:w="1026"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343" w:type="dxa"/>
            <w:vMerge w:val="restart"/>
            <w:tcBorders>
              <w:bottom w:val="single" w:sz="8" w:space="0" w:color="A41F35"/>
            </w:tcBorders>
            <w:shd w:fill="EFECE8" w:val="clear"/>
            <w:tcMar>
              <w:bottom w:w="120" w:type="dxa"/>
            </w:tcMar>
            <w:vAlign w:val="center"/>
          </w:tcPr>
          <w:p>
            <w:pPr>
              <w:pStyle w:val="TableContents"/>
              <w:bidi w:val="0"/>
              <w:spacing w:before="0" w:after="0"/>
              <w:jc w:val="left"/>
              <w:rPr>
                <w:rFonts w:ascii="arial" w:hAnsi="arial"/>
                <w:sz w:val="18"/>
              </w:rPr>
            </w:pPr>
            <w:r>
              <w:rPr>
                <w:rFonts w:ascii="arial" w:hAnsi="arial"/>
                <w:sz w:val="18"/>
              </w:rPr>
              <w:t>Impact Factor Two</w:t>
            </w:r>
          </w:p>
        </w:tc>
        <w:tc>
          <w:tcPr>
            <w:tcW w:w="120" w:type="dxa"/>
            <w:tcBorders/>
            <w:shd w:fill="EFECE8" w:val="clear"/>
            <w:vAlign w:val="center"/>
          </w:tcPr>
          <w:p>
            <w:pPr>
              <w:pStyle w:val="TableContents"/>
              <w:bidi w:val="0"/>
              <w:spacing w:before="0" w:after="283"/>
              <w:jc w:val="left"/>
              <w:rPr/>
            </w:pPr>
            <w:r>
              <w:rPr/>
              <w:t>  </w:t>
            </w:r>
          </w:p>
        </w:tc>
        <w:tc>
          <w:tcPr>
            <w:tcW w:w="7716" w:type="dxa"/>
            <w:tcBorders/>
            <w:shd w:fill="EFECE8" w:val="clear"/>
            <w:vAlign w:val="center"/>
          </w:tcPr>
          <w:p>
            <w:pPr>
              <w:pStyle w:val="TableContents"/>
              <w:bidi w:val="0"/>
              <w:spacing w:before="0" w:after="283"/>
              <w:jc w:val="left"/>
              <w:rPr/>
            </w:pPr>
            <w:r>
              <w:rPr/>
              <w:t>Sustained EBITDA positive for a minimum of 2 quarters in 2024</w:t>
            </w:r>
          </w:p>
        </w:tc>
        <w:tc>
          <w:tcPr>
            <w:tcW w:w="120" w:type="dxa"/>
            <w:tcBorders/>
            <w:shd w:fill="EFECE8" w:val="clear"/>
            <w:vAlign w:val="center"/>
          </w:tcPr>
          <w:p>
            <w:pPr>
              <w:pStyle w:val="TableContents"/>
              <w:bidi w:val="0"/>
              <w:spacing w:before="0" w:after="283"/>
              <w:jc w:val="left"/>
              <w:rPr/>
            </w:pPr>
            <w:r>
              <w:rPr/>
              <w:t>  </w:t>
            </w:r>
          </w:p>
        </w:tc>
        <w:tc>
          <w:tcPr>
            <w:tcW w:w="906" w:type="dxa"/>
            <w:tcBorders/>
            <w:shd w:fill="EFECE8" w:val="clear"/>
            <w:vAlign w:val="center"/>
          </w:tcPr>
          <w:p>
            <w:pPr>
              <w:pStyle w:val="TableContents"/>
              <w:bidi w:val="0"/>
              <w:spacing w:before="0" w:after="283"/>
              <w:jc w:val="center"/>
              <w:rPr/>
            </w:pPr>
            <w:r>
              <w:rPr/>
              <w:t>Met</w:t>
            </w:r>
          </w:p>
        </w:tc>
      </w:tr>
      <w:tr>
        <w:trPr/>
        <w:tc>
          <w:tcPr>
            <w:tcW w:w="1343" w:type="dxa"/>
            <w:vMerge w:val="continue"/>
            <w:tcBorders>
              <w:bottom w:val="single" w:sz="8" w:space="0" w:color="A41F35"/>
            </w:tcBorders>
            <w:shd w:fill="EFECE8" w:val="clear"/>
            <w:tcMar>
              <w:bottom w:w="120" w:type="dxa"/>
            </w:tcM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7716" w:type="dxa"/>
            <w:tcBorders/>
            <w:shd w:fill="EFECE8" w:val="clear"/>
            <w:vAlign w:val="center"/>
          </w:tcPr>
          <w:p>
            <w:pPr>
              <w:pStyle w:val="TableContents"/>
              <w:bidi w:val="0"/>
              <w:spacing w:before="0" w:after="283"/>
              <w:jc w:val="left"/>
              <w:rPr/>
            </w:pPr>
            <w:r>
              <w:rPr/>
              <w:t xml:space="preserve">FDA submission of new OCS boards with integrated lactate and ABG sensors </w:t>
              <w:br/>
              <w:t>by December 31, 2024</w:t>
            </w:r>
          </w:p>
        </w:tc>
        <w:tc>
          <w:tcPr>
            <w:tcW w:w="120" w:type="dxa"/>
            <w:tcBorders/>
            <w:shd w:fill="EFECE8" w:val="clear"/>
            <w:vAlign w:val="center"/>
          </w:tcPr>
          <w:p>
            <w:pPr>
              <w:pStyle w:val="TableContents"/>
              <w:bidi w:val="0"/>
              <w:spacing w:before="0" w:after="283"/>
              <w:jc w:val="left"/>
              <w:rPr/>
            </w:pPr>
            <w:r>
              <w:rPr/>
              <w:t>  </w:t>
            </w:r>
          </w:p>
        </w:tc>
        <w:tc>
          <w:tcPr>
            <w:tcW w:w="906" w:type="dxa"/>
            <w:tcBorders/>
            <w:shd w:fill="EFECE8" w:val="clear"/>
            <w:vAlign w:val="center"/>
          </w:tcPr>
          <w:p>
            <w:pPr>
              <w:pStyle w:val="TableContents"/>
              <w:bidi w:val="0"/>
              <w:spacing w:before="0" w:after="283"/>
              <w:jc w:val="center"/>
              <w:rPr/>
            </w:pPr>
            <w:r>
              <w:rPr/>
              <w:t>Not Met</w:t>
            </w:r>
          </w:p>
        </w:tc>
      </w:tr>
      <w:tr>
        <w:trPr/>
        <w:tc>
          <w:tcPr>
            <w:tcW w:w="1343" w:type="dxa"/>
            <w:vMerge w:val="continue"/>
            <w:tcBorders>
              <w:bottom w:val="single" w:sz="8" w:space="0" w:color="A41F35"/>
            </w:tcBorders>
            <w:shd w:fill="EFECE8" w:val="clear"/>
            <w:tcMar>
              <w:bottom w:w="120" w:type="dxa"/>
            </w:tcM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7716" w:type="dxa"/>
            <w:tcBorders/>
            <w:shd w:fill="EFECE8" w:val="clear"/>
            <w:vAlign w:val="center"/>
          </w:tcPr>
          <w:p>
            <w:pPr>
              <w:pStyle w:val="TableContents"/>
              <w:bidi w:val="0"/>
              <w:spacing w:before="0" w:after="283"/>
              <w:jc w:val="left"/>
              <w:rPr/>
            </w:pPr>
            <w:r>
              <w:rPr/>
              <w:t xml:space="preserve">Complete development of OCS Connect II &amp; OCS Cloud Connectivity </w:t>
              <w:br/>
              <w:t>by December 31, 2024</w:t>
            </w:r>
          </w:p>
        </w:tc>
        <w:tc>
          <w:tcPr>
            <w:tcW w:w="120" w:type="dxa"/>
            <w:tcBorders/>
            <w:shd w:fill="EFECE8" w:val="clear"/>
            <w:vAlign w:val="center"/>
          </w:tcPr>
          <w:p>
            <w:pPr>
              <w:pStyle w:val="TableContents"/>
              <w:bidi w:val="0"/>
              <w:spacing w:before="0" w:after="283"/>
              <w:jc w:val="left"/>
              <w:rPr/>
            </w:pPr>
            <w:r>
              <w:rPr/>
              <w:t>  </w:t>
            </w:r>
          </w:p>
        </w:tc>
        <w:tc>
          <w:tcPr>
            <w:tcW w:w="906" w:type="dxa"/>
            <w:tcBorders/>
            <w:shd w:fill="EFECE8" w:val="clear"/>
            <w:vAlign w:val="center"/>
          </w:tcPr>
          <w:p>
            <w:pPr>
              <w:pStyle w:val="TableContents"/>
              <w:bidi w:val="0"/>
              <w:spacing w:before="0" w:after="283"/>
              <w:jc w:val="center"/>
              <w:rPr/>
            </w:pPr>
            <w:r>
              <w:rPr/>
              <w:t>Met</w:t>
            </w:r>
          </w:p>
        </w:tc>
      </w:tr>
      <w:tr>
        <w:trPr/>
        <w:tc>
          <w:tcPr>
            <w:tcW w:w="1343" w:type="dxa"/>
            <w:vMerge w:val="continue"/>
            <w:tcBorders>
              <w:bottom w:val="single" w:sz="8" w:space="0" w:color="A41F35"/>
            </w:tcBorders>
            <w:shd w:fill="EFECE8" w:val="clear"/>
            <w:tcMar>
              <w:bottom w:w="120" w:type="dxa"/>
            </w:tcMar>
            <w:vAlign w:val="center"/>
          </w:tcPr>
          <w:p>
            <w:pPr>
              <w:pStyle w:val="Normal"/>
              <w:bidi w:val="0"/>
              <w:jc w:val="left"/>
              <w:rPr/>
            </w:pPr>
            <w:r>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716" w:type="dxa"/>
            <w:tcBorders>
              <w:bottom w:val="single" w:sz="8" w:space="0" w:color="A41F35"/>
            </w:tcBorders>
            <w:shd w:fill="EFECE8" w:val="clear"/>
            <w:tcMar>
              <w:bottom w:w="120" w:type="dxa"/>
            </w:tcMar>
            <w:vAlign w:val="center"/>
          </w:tcPr>
          <w:p>
            <w:pPr>
              <w:pStyle w:val="TableContents"/>
              <w:bidi w:val="0"/>
              <w:spacing w:before="0" w:after="283"/>
              <w:jc w:val="left"/>
              <w:rPr/>
            </w:pPr>
            <w:r>
              <w:rPr/>
              <w:t>Supply chain to control management of all inventory at NOP hubs by December 31, 2024</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906" w:type="dxa"/>
            <w:tcBorders>
              <w:bottom w:val="single" w:sz="8" w:space="0" w:color="A41F35"/>
            </w:tcBorders>
            <w:shd w:fill="EFECE8" w:val="clear"/>
            <w:tcMar>
              <w:bottom w:w="120" w:type="dxa"/>
            </w:tcMar>
            <w:vAlign w:val="center"/>
          </w:tcPr>
          <w:p>
            <w:pPr>
              <w:pStyle w:val="TableContents"/>
              <w:bidi w:val="0"/>
              <w:spacing w:before="0" w:after="283"/>
              <w:jc w:val="center"/>
              <w:rPr/>
            </w:pPr>
            <w:r>
              <w:rPr/>
              <w:t>Met</w:t>
            </w:r>
          </w:p>
        </w:tc>
      </w:tr>
    </w:tbl>
    <w:p>
      <w:pPr>
        <w:pStyle w:val="TextBody"/>
        <w:bidi w:val="0"/>
        <w:spacing w:before="120" w:after="0"/>
        <w:jc w:val="left"/>
        <w:rPr>
          <w:rFonts w:ascii="arial" w:hAnsi="arial"/>
          <w:sz w:val="18"/>
        </w:rPr>
      </w:pPr>
      <w:r>
        <w:rPr>
          <w:rFonts w:ascii="arial" w:hAnsi="arial"/>
          <w:sz w:val="18"/>
        </w:rPr>
        <w:t xml:space="preserve">Our 2024 revenue of $441.5 million was an 83% increase in revenue over 2023 and above our maximum level performance goals, we achieved three out of four impact factor one goals, and we achieved three out of four of the impact factor two goals. As a result, our Compensation Committee determined that each named executive officer, other than Mr. Ranganath, would receive a bonus of 200% of target for 2024. Consistent with our internal compensation practices for new leaders and given his June 2023 start date, our Compensation Committee determined that Mr. Ranganath was still in the early stages of his leadership in developing the internal legal function for the Company with additional opportunities to further his direct contribution to core strategic initiatives. As a result, his 2024 annual bonus was capped at 100% of his target annual bonus. Our Compensation Committee did not apply any further discretion to any calculated bonus payout. The resulting bonus payouts for our named executive officers are for 2024 are set forth below: </w:t>
      </w:r>
    </w:p>
    <w:p>
      <w:pPr>
        <w:pStyle w:val="TextBody"/>
        <w:bidi w:val="0"/>
        <w:spacing w:before="0" w:after="0"/>
        <w:jc w:val="left"/>
        <w:rPr/>
      </w:pPr>
      <w:r>
        <w:rPr/>
        <w:t> </w:t>
      </w:r>
    </w:p>
    <w:tbl>
      <w:tblPr>
        <w:tblW w:w="9808" w:type="dxa"/>
        <w:jc w:val="left"/>
        <w:tblInd w:w="0" w:type="dxa"/>
        <w:tblLayout w:type="fixed"/>
        <w:tblCellMar>
          <w:top w:w="0" w:type="dxa"/>
          <w:left w:w="0" w:type="dxa"/>
          <w:bottom w:w="0" w:type="dxa"/>
          <w:right w:w="0" w:type="dxa"/>
        </w:tblCellMar>
      </w:tblPr>
      <w:tblGrid>
        <w:gridCol w:w="2285"/>
        <w:gridCol w:w="120"/>
        <w:gridCol w:w="77"/>
        <w:gridCol w:w="181"/>
        <w:gridCol w:w="1036"/>
        <w:gridCol w:w="31"/>
        <w:gridCol w:w="120"/>
        <w:gridCol w:w="125"/>
        <w:gridCol w:w="125"/>
        <w:gridCol w:w="791"/>
        <w:gridCol w:w="449"/>
        <w:gridCol w:w="60"/>
        <w:gridCol w:w="87"/>
        <w:gridCol w:w="203"/>
        <w:gridCol w:w="1165"/>
        <w:gridCol w:w="35"/>
        <w:gridCol w:w="120"/>
        <w:gridCol w:w="127"/>
        <w:gridCol w:w="127"/>
        <w:gridCol w:w="807"/>
        <w:gridCol w:w="459"/>
        <w:gridCol w:w="60"/>
        <w:gridCol w:w="60"/>
        <w:gridCol w:w="140"/>
        <w:gridCol w:w="980"/>
        <w:gridCol w:w="38"/>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Named Executive Officer(1)</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2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2024</w:t>
              <w:br/>
              <w:t>Annual Base</w:t>
              <w:br/>
              <w:t>Salary</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2024 Target</w:t>
              <w:br/>
              <w:t>Annual Bonus</w:t>
              <w:br/>
              <w:t>Opportunity</w:t>
              <w:br/>
              <w:t>(as a % of</w:t>
              <w:br/>
              <w:t>Salary)</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2024 Target</w:t>
              <w:br/>
              <w:t>Annual Bonus</w:t>
              <w:br/>
              <w:t>Opportunity</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2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2024</w:t>
              <w:br/>
              <w:t>Actual Annual</w:t>
              <w:br/>
              <w:t>Bonus Payout</w:t>
              <w:br/>
              <w:t>(as a % of</w:t>
              <w:br/>
              <w:t>Target)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18"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Actual</w:t>
              <w:br/>
              <w:t>Annual</w:t>
              <w:br/>
              <w:t>Bonus</w:t>
              <w:br/>
              <w:t>Payout</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640" w:type="dxa"/>
            <w:gridSpan w:val="5"/>
            <w:tcBorders/>
            <w:shd w:fill="EFECE8" w:val="clear"/>
            <w:vAlign w:val="center"/>
          </w:tcPr>
          <w:p>
            <w:pPr>
              <w:pStyle w:val="TableContents"/>
              <w:bidi w:val="0"/>
              <w:spacing w:before="0" w:after="283"/>
              <w:jc w:val="left"/>
              <w:rPr>
                <w:sz w:val="4"/>
                <w:szCs w:val="4"/>
              </w:rPr>
            </w:pPr>
            <w:r>
              <w:rPr>
                <w:sz w:val="4"/>
                <w:szCs w:val="4"/>
              </w:rPr>
            </w:r>
          </w:p>
        </w:tc>
        <w:tc>
          <w:tcPr>
            <w:tcW w:w="12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77" w:type="dxa"/>
            <w:tcBorders/>
            <w:shd w:fill="EFECE8" w:val="clear"/>
            <w:vAlign w:val="center"/>
          </w:tcPr>
          <w:p>
            <w:pPr>
              <w:pStyle w:val="TableContents"/>
              <w:bidi w:val="0"/>
              <w:spacing w:before="0" w:after="283"/>
              <w:jc w:val="left"/>
              <w:rPr/>
            </w:pPr>
            <w:r>
              <w:rPr/>
              <w:t> </w:t>
            </w:r>
          </w:p>
        </w:tc>
        <w:tc>
          <w:tcPr>
            <w:tcW w:w="181" w:type="dxa"/>
            <w:tcBorders/>
            <w:shd w:fill="EFECE8" w:val="clear"/>
            <w:vAlign w:val="center"/>
          </w:tcPr>
          <w:p>
            <w:pPr>
              <w:pStyle w:val="TableContents"/>
              <w:bidi w:val="0"/>
              <w:spacing w:before="0" w:after="283"/>
              <w:jc w:val="left"/>
              <w:rPr/>
            </w:pPr>
            <w:r>
              <w:rPr/>
              <w:t>$</w:t>
            </w:r>
          </w:p>
        </w:tc>
        <w:tc>
          <w:tcPr>
            <w:tcW w:w="1036" w:type="dxa"/>
            <w:tcBorders/>
            <w:shd w:fill="EFECE8" w:val="clear"/>
            <w:vAlign w:val="center"/>
          </w:tcPr>
          <w:p>
            <w:pPr>
              <w:pStyle w:val="TableContents"/>
              <w:bidi w:val="0"/>
              <w:spacing w:before="0" w:after="283"/>
              <w:jc w:val="right"/>
              <w:rPr/>
            </w:pPr>
            <w:r>
              <w:rPr/>
              <w:t>700,000</w:t>
            </w:r>
          </w:p>
        </w:tc>
        <w:tc>
          <w:tcPr>
            <w:tcW w:w="3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5" w:type="dxa"/>
            <w:tcBorders/>
            <w:shd w:fill="EFECE8" w:val="clear"/>
            <w:vAlign w:val="center"/>
          </w:tcPr>
          <w:p>
            <w:pPr>
              <w:pStyle w:val="TableContents"/>
              <w:bidi w:val="0"/>
              <w:spacing w:before="0" w:after="283"/>
              <w:jc w:val="left"/>
              <w:rPr/>
            </w:pPr>
            <w:r>
              <w:rPr/>
              <w:t> </w:t>
            </w:r>
          </w:p>
        </w:tc>
        <w:tc>
          <w:tcPr>
            <w:tcW w:w="125" w:type="dxa"/>
            <w:tcBorders/>
            <w:shd w:fill="EFECE8" w:val="clear"/>
            <w:vAlign w:val="center"/>
          </w:tcPr>
          <w:p>
            <w:pPr>
              <w:pStyle w:val="TableContents"/>
              <w:bidi w:val="0"/>
              <w:spacing w:before="0" w:after="283"/>
              <w:jc w:val="left"/>
              <w:rPr/>
            </w:pPr>
            <w:r>
              <w:rPr/>
              <w:t> </w:t>
            </w:r>
          </w:p>
        </w:tc>
        <w:tc>
          <w:tcPr>
            <w:tcW w:w="791" w:type="dxa"/>
            <w:tcBorders/>
            <w:shd w:fill="EFECE8" w:val="clear"/>
            <w:vAlign w:val="center"/>
          </w:tcPr>
          <w:p>
            <w:pPr>
              <w:pStyle w:val="TableContents"/>
              <w:bidi w:val="0"/>
              <w:spacing w:before="0" w:after="283"/>
              <w:jc w:val="right"/>
              <w:rPr/>
            </w:pPr>
            <w:r>
              <w:rPr/>
              <w:t>100</w:t>
            </w:r>
          </w:p>
        </w:tc>
        <w:tc>
          <w:tcPr>
            <w:tcW w:w="449" w:type="dxa"/>
            <w:tcBorders/>
            <w:shd w:fill="EFECE8" w:val="clear"/>
            <w:vAlign w:val="center"/>
          </w:tcPr>
          <w:p>
            <w:pPr>
              <w:pStyle w:val="TableContents"/>
              <w:bidi w:val="0"/>
              <w:spacing w:before="0" w:after="283"/>
              <w:jc w:val="left"/>
              <w:rPr/>
            </w:pPr>
            <w:r>
              <w:rPr/>
              <w:t>%</w:t>
            </w:r>
          </w:p>
        </w:tc>
        <w:tc>
          <w:tcPr>
            <w:tcW w:w="60" w:type="dxa"/>
            <w:tcBorders/>
            <w:shd w:fill="EFECE8" w:val="clear"/>
            <w:vAlign w:val="center"/>
          </w:tcPr>
          <w:p>
            <w:pPr>
              <w:pStyle w:val="TableContents"/>
              <w:bidi w:val="0"/>
              <w:spacing w:before="0" w:after="283"/>
              <w:jc w:val="left"/>
              <w:rPr/>
            </w:pPr>
            <w:r>
              <w:rPr/>
              <w:t> </w:t>
            </w:r>
          </w:p>
        </w:tc>
        <w:tc>
          <w:tcPr>
            <w:tcW w:w="87" w:type="dxa"/>
            <w:tcBorders/>
            <w:shd w:fill="EFECE8" w:val="clear"/>
            <w:vAlign w:val="center"/>
          </w:tcPr>
          <w:p>
            <w:pPr>
              <w:pStyle w:val="TableContents"/>
              <w:bidi w:val="0"/>
              <w:spacing w:before="0" w:after="283"/>
              <w:jc w:val="left"/>
              <w:rPr/>
            </w:pPr>
            <w:r>
              <w:rPr/>
              <w:t> </w:t>
            </w:r>
          </w:p>
        </w:tc>
        <w:tc>
          <w:tcPr>
            <w:tcW w:w="203" w:type="dxa"/>
            <w:tcBorders/>
            <w:shd w:fill="EFECE8" w:val="clear"/>
            <w:vAlign w:val="center"/>
          </w:tcPr>
          <w:p>
            <w:pPr>
              <w:pStyle w:val="TableContents"/>
              <w:bidi w:val="0"/>
              <w:spacing w:before="0" w:after="283"/>
              <w:jc w:val="left"/>
              <w:rPr/>
            </w:pPr>
            <w:r>
              <w:rPr/>
              <w:t>$</w:t>
            </w:r>
          </w:p>
        </w:tc>
        <w:tc>
          <w:tcPr>
            <w:tcW w:w="1165" w:type="dxa"/>
            <w:tcBorders/>
            <w:shd w:fill="EFECE8" w:val="clear"/>
            <w:vAlign w:val="center"/>
          </w:tcPr>
          <w:p>
            <w:pPr>
              <w:pStyle w:val="TableContents"/>
              <w:bidi w:val="0"/>
              <w:spacing w:before="0" w:after="283"/>
              <w:jc w:val="right"/>
              <w:rPr/>
            </w:pPr>
            <w:r>
              <w:rPr/>
              <w:t>700,000</w:t>
            </w:r>
          </w:p>
        </w:tc>
        <w:tc>
          <w:tcPr>
            <w:tcW w:w="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807" w:type="dxa"/>
            <w:tcBorders/>
            <w:shd w:fill="EFECE8" w:val="clear"/>
            <w:vAlign w:val="center"/>
          </w:tcPr>
          <w:p>
            <w:pPr>
              <w:pStyle w:val="TableContents"/>
              <w:bidi w:val="0"/>
              <w:spacing w:before="0" w:after="283"/>
              <w:jc w:val="right"/>
              <w:rPr/>
            </w:pPr>
            <w:r>
              <w:rPr/>
              <w:t>200</w:t>
            </w:r>
          </w:p>
        </w:tc>
        <w:tc>
          <w:tcPr>
            <w:tcW w:w="459" w:type="dxa"/>
            <w:tcBorders/>
            <w:shd w:fill="EFECE8" w:val="clear"/>
            <w:vAlign w:val="center"/>
          </w:tcPr>
          <w:p>
            <w:pPr>
              <w:pStyle w:val="TableContents"/>
              <w:bidi w:val="0"/>
              <w:spacing w:before="0" w:after="283"/>
              <w:jc w:val="left"/>
              <w:rPr/>
            </w:pPr>
            <w:r>
              <w:rPr/>
              <w:t>%</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w:t>
            </w:r>
          </w:p>
        </w:tc>
        <w:tc>
          <w:tcPr>
            <w:tcW w:w="980" w:type="dxa"/>
            <w:tcBorders/>
            <w:shd w:fill="EFECE8" w:val="clear"/>
            <w:vAlign w:val="center"/>
          </w:tcPr>
          <w:p>
            <w:pPr>
              <w:pStyle w:val="TableContents"/>
              <w:bidi w:val="0"/>
              <w:spacing w:before="0" w:after="283"/>
              <w:jc w:val="right"/>
              <w:rPr/>
            </w:pPr>
            <w:r>
              <w:rPr/>
              <w:t>1,400,000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278"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481,500</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60</w:t>
            </w:r>
          </w:p>
        </w:tc>
        <w:tc>
          <w:tcPr>
            <w:tcW w:w="44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right"/>
              <w:rPr/>
            </w:pPr>
            <w:r>
              <w:rPr/>
              <w:t>288,900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200</w:t>
            </w:r>
          </w:p>
        </w:tc>
        <w:tc>
          <w:tcPr>
            <w:tcW w:w="45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577,800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640" w:type="dxa"/>
            <w:gridSpan w:val="5"/>
            <w:tcBorders/>
            <w:shd w:fill="EFECE8" w:val="clear"/>
            <w:vAlign w:val="center"/>
          </w:tcPr>
          <w:p>
            <w:pPr>
              <w:pStyle w:val="TableContents"/>
              <w:bidi w:val="0"/>
              <w:spacing w:before="0" w:after="283"/>
              <w:jc w:val="left"/>
              <w:rPr>
                <w:sz w:val="4"/>
                <w:szCs w:val="4"/>
              </w:rPr>
            </w:pPr>
            <w:r>
              <w:rPr>
                <w:sz w:val="4"/>
                <w:szCs w:val="4"/>
              </w:rPr>
            </w:r>
          </w:p>
        </w:tc>
        <w:tc>
          <w:tcPr>
            <w:tcW w:w="12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shd w:fill="EFECE8" w:val="clear"/>
            <w:vAlign w:val="center"/>
          </w:tcPr>
          <w:p>
            <w:pPr>
              <w:pStyle w:val="TableContents"/>
              <w:bidi w:val="0"/>
              <w:spacing w:before="0" w:after="283"/>
              <w:jc w:val="left"/>
              <w:rPr/>
            </w:pPr>
            <w:r>
              <w:rPr/>
              <w:t>  </w:t>
            </w:r>
          </w:p>
        </w:tc>
        <w:tc>
          <w:tcPr>
            <w:tcW w:w="77" w:type="dxa"/>
            <w:tcBorders/>
            <w:shd w:fill="EFECE8" w:val="clear"/>
            <w:vAlign w:val="center"/>
          </w:tcPr>
          <w:p>
            <w:pPr>
              <w:pStyle w:val="TableContents"/>
              <w:bidi w:val="0"/>
              <w:spacing w:before="0" w:after="283"/>
              <w:jc w:val="left"/>
              <w:rPr/>
            </w:pPr>
            <w:r>
              <w:rPr/>
              <w:t> </w:t>
            </w:r>
          </w:p>
        </w:tc>
        <w:tc>
          <w:tcPr>
            <w:tcW w:w="181" w:type="dxa"/>
            <w:tcBorders/>
            <w:shd w:fill="EFECE8" w:val="clear"/>
            <w:vAlign w:val="center"/>
          </w:tcPr>
          <w:p>
            <w:pPr>
              <w:pStyle w:val="TableContents"/>
              <w:bidi w:val="0"/>
              <w:spacing w:before="0" w:after="283"/>
              <w:jc w:val="left"/>
              <w:rPr/>
            </w:pPr>
            <w:r>
              <w:rPr/>
              <w:t>$</w:t>
            </w:r>
          </w:p>
        </w:tc>
        <w:tc>
          <w:tcPr>
            <w:tcW w:w="1036" w:type="dxa"/>
            <w:tcBorders/>
            <w:shd w:fill="EFECE8" w:val="clear"/>
            <w:vAlign w:val="center"/>
          </w:tcPr>
          <w:p>
            <w:pPr>
              <w:pStyle w:val="TableContents"/>
              <w:bidi w:val="0"/>
              <w:spacing w:before="0" w:after="283"/>
              <w:jc w:val="right"/>
              <w:rPr/>
            </w:pPr>
            <w:r>
              <w:rPr/>
              <w:t>435,000</w:t>
            </w:r>
          </w:p>
        </w:tc>
        <w:tc>
          <w:tcPr>
            <w:tcW w:w="3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5" w:type="dxa"/>
            <w:tcBorders/>
            <w:shd w:fill="EFECE8" w:val="clear"/>
            <w:vAlign w:val="center"/>
          </w:tcPr>
          <w:p>
            <w:pPr>
              <w:pStyle w:val="TableContents"/>
              <w:bidi w:val="0"/>
              <w:spacing w:before="0" w:after="283"/>
              <w:jc w:val="left"/>
              <w:rPr/>
            </w:pPr>
            <w:r>
              <w:rPr/>
              <w:t> </w:t>
            </w:r>
          </w:p>
        </w:tc>
        <w:tc>
          <w:tcPr>
            <w:tcW w:w="125" w:type="dxa"/>
            <w:tcBorders/>
            <w:shd w:fill="EFECE8" w:val="clear"/>
            <w:vAlign w:val="center"/>
          </w:tcPr>
          <w:p>
            <w:pPr>
              <w:pStyle w:val="TableContents"/>
              <w:bidi w:val="0"/>
              <w:spacing w:before="0" w:after="283"/>
              <w:jc w:val="left"/>
              <w:rPr/>
            </w:pPr>
            <w:r>
              <w:rPr/>
              <w:t> </w:t>
            </w:r>
          </w:p>
        </w:tc>
        <w:tc>
          <w:tcPr>
            <w:tcW w:w="791" w:type="dxa"/>
            <w:tcBorders/>
            <w:shd w:fill="EFECE8" w:val="clear"/>
            <w:vAlign w:val="center"/>
          </w:tcPr>
          <w:p>
            <w:pPr>
              <w:pStyle w:val="TableContents"/>
              <w:bidi w:val="0"/>
              <w:spacing w:before="0" w:after="283"/>
              <w:jc w:val="right"/>
              <w:rPr/>
            </w:pPr>
            <w:r>
              <w:rPr/>
              <w:t>45</w:t>
            </w:r>
          </w:p>
        </w:tc>
        <w:tc>
          <w:tcPr>
            <w:tcW w:w="449" w:type="dxa"/>
            <w:tcBorders/>
            <w:shd w:fill="EFECE8" w:val="clear"/>
            <w:vAlign w:val="center"/>
          </w:tcPr>
          <w:p>
            <w:pPr>
              <w:pStyle w:val="TableContents"/>
              <w:bidi w:val="0"/>
              <w:spacing w:before="0" w:after="283"/>
              <w:jc w:val="left"/>
              <w:rPr/>
            </w:pPr>
            <w:r>
              <w:rPr/>
              <w:t>%</w:t>
            </w:r>
          </w:p>
        </w:tc>
        <w:tc>
          <w:tcPr>
            <w:tcW w:w="60" w:type="dxa"/>
            <w:tcBorders/>
            <w:shd w:fill="EFECE8" w:val="clear"/>
            <w:vAlign w:val="center"/>
          </w:tcPr>
          <w:p>
            <w:pPr>
              <w:pStyle w:val="TableContents"/>
              <w:bidi w:val="0"/>
              <w:spacing w:before="0" w:after="283"/>
              <w:jc w:val="left"/>
              <w:rPr/>
            </w:pPr>
            <w:r>
              <w:rPr/>
              <w:t> </w:t>
            </w:r>
          </w:p>
        </w:tc>
        <w:tc>
          <w:tcPr>
            <w:tcW w:w="87" w:type="dxa"/>
            <w:tcBorders/>
            <w:shd w:fill="EFECE8" w:val="clear"/>
            <w:vAlign w:val="center"/>
          </w:tcPr>
          <w:p>
            <w:pPr>
              <w:pStyle w:val="TableContents"/>
              <w:bidi w:val="0"/>
              <w:spacing w:before="0" w:after="283"/>
              <w:jc w:val="left"/>
              <w:rPr/>
            </w:pPr>
            <w:r>
              <w:rPr/>
              <w:t> </w:t>
            </w:r>
          </w:p>
        </w:tc>
        <w:tc>
          <w:tcPr>
            <w:tcW w:w="203" w:type="dxa"/>
            <w:tcBorders/>
            <w:shd w:fill="EFECE8" w:val="clear"/>
            <w:vAlign w:val="center"/>
          </w:tcPr>
          <w:p>
            <w:pPr>
              <w:pStyle w:val="TableContents"/>
              <w:bidi w:val="0"/>
              <w:spacing w:before="0" w:after="283"/>
              <w:jc w:val="left"/>
              <w:rPr/>
            </w:pPr>
            <w:r>
              <w:rPr/>
              <w:t>$</w:t>
            </w:r>
          </w:p>
        </w:tc>
        <w:tc>
          <w:tcPr>
            <w:tcW w:w="1165" w:type="dxa"/>
            <w:tcBorders/>
            <w:shd w:fill="EFECE8" w:val="clear"/>
            <w:vAlign w:val="center"/>
          </w:tcPr>
          <w:p>
            <w:pPr>
              <w:pStyle w:val="TableContents"/>
              <w:bidi w:val="0"/>
              <w:spacing w:before="0" w:after="283"/>
              <w:jc w:val="right"/>
              <w:rPr/>
            </w:pPr>
            <w:r>
              <w:rPr/>
              <w:t>195,750</w:t>
            </w:r>
          </w:p>
        </w:tc>
        <w:tc>
          <w:tcPr>
            <w:tcW w:w="35"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127" w:type="dxa"/>
            <w:tcBorders/>
            <w:shd w:fill="EFECE8" w:val="clear"/>
            <w:vAlign w:val="center"/>
          </w:tcPr>
          <w:p>
            <w:pPr>
              <w:pStyle w:val="TableContents"/>
              <w:bidi w:val="0"/>
              <w:spacing w:before="0" w:after="283"/>
              <w:jc w:val="left"/>
              <w:rPr/>
            </w:pPr>
            <w:r>
              <w:rPr/>
              <w:t> </w:t>
            </w:r>
          </w:p>
        </w:tc>
        <w:tc>
          <w:tcPr>
            <w:tcW w:w="807" w:type="dxa"/>
            <w:tcBorders/>
            <w:shd w:fill="EFECE8" w:val="clear"/>
            <w:vAlign w:val="center"/>
          </w:tcPr>
          <w:p>
            <w:pPr>
              <w:pStyle w:val="TableContents"/>
              <w:bidi w:val="0"/>
              <w:spacing w:before="0" w:after="283"/>
              <w:jc w:val="right"/>
              <w:rPr/>
            </w:pPr>
            <w:r>
              <w:rPr/>
              <w:t>200</w:t>
            </w:r>
          </w:p>
        </w:tc>
        <w:tc>
          <w:tcPr>
            <w:tcW w:w="459" w:type="dxa"/>
            <w:tcBorders/>
            <w:shd w:fill="EFECE8" w:val="clear"/>
            <w:vAlign w:val="center"/>
          </w:tcPr>
          <w:p>
            <w:pPr>
              <w:pStyle w:val="TableContents"/>
              <w:bidi w:val="0"/>
              <w:spacing w:before="0" w:after="283"/>
              <w:jc w:val="left"/>
              <w:rPr/>
            </w:pPr>
            <w:r>
              <w:rPr/>
              <w:t>%</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w:t>
            </w:r>
          </w:p>
        </w:tc>
        <w:tc>
          <w:tcPr>
            <w:tcW w:w="980" w:type="dxa"/>
            <w:tcBorders/>
            <w:shd w:fill="EFECE8" w:val="clear"/>
            <w:vAlign w:val="center"/>
          </w:tcPr>
          <w:p>
            <w:pPr>
              <w:pStyle w:val="TableContents"/>
              <w:bidi w:val="0"/>
              <w:spacing w:before="0" w:after="283"/>
              <w:jc w:val="right"/>
              <w:rPr/>
            </w:pPr>
            <w:r>
              <w:rPr/>
              <w:t>391,500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278"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283"/>
              <w:jc w:val="right"/>
              <w:rPr/>
            </w:pPr>
            <w:r>
              <w:rPr/>
              <w:t>400,000</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45</w:t>
            </w:r>
          </w:p>
        </w:tc>
        <w:tc>
          <w:tcPr>
            <w:tcW w:w="44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1165" w:type="dxa"/>
            <w:tcBorders/>
            <w:vAlign w:val="center"/>
          </w:tcPr>
          <w:p>
            <w:pPr>
              <w:pStyle w:val="TableContents"/>
              <w:bidi w:val="0"/>
              <w:spacing w:before="0" w:after="283"/>
              <w:jc w:val="right"/>
              <w:rPr/>
            </w:pPr>
            <w:r>
              <w:rPr/>
              <w:t>180,000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100</w:t>
            </w:r>
          </w:p>
        </w:tc>
        <w:tc>
          <w:tcPr>
            <w:tcW w:w="459"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180,000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c>
          <w:tcPr>
            <w:tcW w:w="161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640" w:type="dxa"/>
            <w:gridSpan w:val="5"/>
            <w:tcBorders/>
            <w:shd w:fill="EFECE8" w:val="clear"/>
            <w:vAlign w:val="center"/>
          </w:tcPr>
          <w:p>
            <w:pPr>
              <w:pStyle w:val="TableContents"/>
              <w:bidi w:val="0"/>
              <w:spacing w:before="0" w:after="283"/>
              <w:jc w:val="left"/>
              <w:rPr>
                <w:sz w:val="4"/>
                <w:szCs w:val="4"/>
              </w:rPr>
            </w:pPr>
            <w:r>
              <w:rPr>
                <w:sz w:val="4"/>
                <w:szCs w:val="4"/>
              </w:rPr>
            </w:r>
          </w:p>
        </w:tc>
        <w:tc>
          <w:tcPr>
            <w:tcW w:w="127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7"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81"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1036" w:type="dxa"/>
            <w:tcBorders>
              <w:bottom w:val="single" w:sz="8" w:space="0" w:color="A41F35"/>
            </w:tcBorders>
            <w:shd w:fill="EFECE8" w:val="clear"/>
            <w:tcMar>
              <w:bottom w:w="40" w:type="dxa"/>
            </w:tcMar>
            <w:vAlign w:val="center"/>
          </w:tcPr>
          <w:p>
            <w:pPr>
              <w:pStyle w:val="TableContents"/>
              <w:bidi w:val="0"/>
              <w:spacing w:before="0" w:after="283"/>
              <w:jc w:val="right"/>
              <w:rPr/>
            </w:pPr>
            <w:r>
              <w:rPr/>
              <w:t>477,000</w:t>
            </w:r>
          </w:p>
        </w:tc>
        <w:tc>
          <w:tcPr>
            <w:tcW w:w="31"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5"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5"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791" w:type="dxa"/>
            <w:tcBorders>
              <w:bottom w:val="single" w:sz="8" w:space="0" w:color="A41F35"/>
            </w:tcBorders>
            <w:shd w:fill="EFECE8" w:val="clear"/>
            <w:tcMar>
              <w:bottom w:w="40" w:type="dxa"/>
            </w:tcMar>
            <w:vAlign w:val="center"/>
          </w:tcPr>
          <w:p>
            <w:pPr>
              <w:pStyle w:val="TableContents"/>
              <w:bidi w:val="0"/>
              <w:spacing w:before="0" w:after="283"/>
              <w:jc w:val="right"/>
              <w:rPr/>
            </w:pPr>
            <w:r>
              <w:rPr/>
              <w:t>60</w:t>
            </w:r>
          </w:p>
        </w:tc>
        <w:tc>
          <w:tcPr>
            <w:tcW w:w="449"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87"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203"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1165" w:type="dxa"/>
            <w:tcBorders>
              <w:bottom w:val="single" w:sz="8" w:space="0" w:color="A41F35"/>
            </w:tcBorders>
            <w:shd w:fill="EFECE8" w:val="clear"/>
            <w:tcMar>
              <w:bottom w:w="40" w:type="dxa"/>
            </w:tcMar>
            <w:vAlign w:val="center"/>
          </w:tcPr>
          <w:p>
            <w:pPr>
              <w:pStyle w:val="TableContents"/>
              <w:bidi w:val="0"/>
              <w:spacing w:before="0" w:after="283"/>
              <w:jc w:val="right"/>
              <w:rPr/>
            </w:pPr>
            <w:r>
              <w:rPr/>
              <w:t>286,200</w:t>
            </w:r>
          </w:p>
        </w:tc>
        <w:tc>
          <w:tcPr>
            <w:tcW w:w="35"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7"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27"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807" w:type="dxa"/>
            <w:tcBorders>
              <w:bottom w:val="single" w:sz="8" w:space="0" w:color="A41F35"/>
            </w:tcBorders>
            <w:shd w:fill="EFECE8" w:val="clear"/>
            <w:tcMar>
              <w:bottom w:w="40" w:type="dxa"/>
            </w:tcMar>
            <w:vAlign w:val="center"/>
          </w:tcPr>
          <w:p>
            <w:pPr>
              <w:pStyle w:val="TableContents"/>
              <w:bidi w:val="0"/>
              <w:spacing w:before="0" w:after="283"/>
              <w:jc w:val="right"/>
              <w:rPr/>
            </w:pPr>
            <w:r>
              <w:rPr/>
              <w:t>200</w:t>
            </w:r>
          </w:p>
        </w:tc>
        <w:tc>
          <w:tcPr>
            <w:tcW w:w="459"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40"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980" w:type="dxa"/>
            <w:tcBorders>
              <w:bottom w:val="single" w:sz="8" w:space="0" w:color="A41F35"/>
            </w:tcBorders>
            <w:shd w:fill="EFECE8" w:val="clear"/>
            <w:tcMar>
              <w:bottom w:w="40" w:type="dxa"/>
            </w:tcMar>
            <w:vAlign w:val="center"/>
          </w:tcPr>
          <w:p>
            <w:pPr>
              <w:pStyle w:val="TableContents"/>
              <w:bidi w:val="0"/>
              <w:spacing w:before="0" w:after="283"/>
              <w:jc w:val="right"/>
              <w:rPr/>
            </w:pPr>
            <w:r>
              <w:rPr/>
              <w:t>572,400</w:t>
            </w:r>
          </w:p>
        </w:tc>
        <w:tc>
          <w:tcPr>
            <w:tcW w:w="38"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(1)</w:t>
            </w:r>
          </w:p>
        </w:tc>
        <w:tc>
          <w:tcPr>
            <w:tcW w:w="8255" w:type="dxa"/>
            <w:tcBorders/>
            <w:vAlign w:val="center"/>
          </w:tcPr>
          <w:p>
            <w:pPr>
              <w:pStyle w:val="TableContents"/>
              <w:bidi w:val="0"/>
              <w:spacing w:before="0" w:after="0"/>
              <w:jc w:val="left"/>
              <w:rPr>
                <w:rFonts w:ascii="arial" w:hAnsi="arial"/>
                <w:sz w:val="16"/>
              </w:rPr>
            </w:pPr>
            <w:r>
              <w:rPr>
                <w:rFonts w:ascii="arial" w:hAnsi="arial"/>
                <w:sz w:val="16"/>
              </w:rPr>
              <w:t xml:space="preserve">Mr. Hernandez joined the Company effective December 2, 2024. He was not eligible for an annual bonus in 2024.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28</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Equity Incentive Awards </w:t>
      </w:r>
    </w:p>
    <w:p>
      <w:pPr>
        <w:pStyle w:val="TextBody"/>
        <w:bidi w:val="0"/>
        <w:spacing w:before="120" w:after="0"/>
        <w:jc w:val="left"/>
        <w:rPr>
          <w:rFonts w:ascii="arial" w:hAnsi="arial"/>
          <w:sz w:val="18"/>
        </w:rPr>
      </w:pPr>
      <w:r>
        <w:rPr>
          <w:rFonts w:ascii="arial" w:hAnsi="arial"/>
          <w:sz w:val="18"/>
        </w:rPr>
        <w:t xml:space="preserve">Our Compensation Committee believes that in order to appropriately incentivize our named executive officers to create shareholder value, a significant portion of our named executive officers’ compensation should be in the form of equity-based compensation. Our equity-based compensation program is designed to align the interests of our executives and shareholders by promoting stock ownership by our executives and senior management, tying compensation realized to stock price performance and encouraging retention. For 2024, our Compensation Committee granted equity incentive awards using a mix of 50% stock options and 50% RSUs, calculated based on target grant date fair value using the average closing price over the 30-day period preceding the grant date.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2"/>
        <w:gridCol w:w="120"/>
        <w:gridCol w:w="1070"/>
        <w:gridCol w:w="120"/>
        <w:gridCol w:w="8093"/>
      </w:tblGrid>
      <w:tr>
        <w:trPr/>
        <w:tc>
          <w:tcPr>
            <w:tcW w:w="8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93" w:type="dxa"/>
            <w:tcBorders/>
            <w:vAlign w:val="center"/>
          </w:tcPr>
          <w:p>
            <w:pPr>
              <w:pStyle w:val="TableContents"/>
              <w:bidi w:val="0"/>
              <w:spacing w:before="0" w:after="283"/>
              <w:jc w:val="left"/>
              <w:rPr>
                <w:sz w:val="4"/>
                <w:szCs w:val="4"/>
              </w:rPr>
            </w:pPr>
            <w:r>
              <w:rPr>
                <w:sz w:val="4"/>
                <w:szCs w:val="4"/>
              </w:rPr>
            </w:r>
          </w:p>
        </w:tc>
      </w:tr>
      <w:tr>
        <w:trPr/>
        <w:tc>
          <w:tcPr>
            <w:tcW w:w="802"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Equity Vehicle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70" w:type="dxa"/>
            <w:tcBorders>
              <w:bottom w:val="single" w:sz="16" w:space="0" w:color="A41F35"/>
            </w:tcBorders>
            <w:tcMar>
              <w:bottom w:w="40" w:type="dxa"/>
            </w:tcMar>
            <w:vAlign w:val="center"/>
          </w:tcPr>
          <w:p>
            <w:pPr>
              <w:pStyle w:val="TableContents"/>
              <w:bidi w:val="0"/>
              <w:spacing w:before="0" w:after="283"/>
              <w:jc w:val="center"/>
              <w:rPr>
                <w:b/>
              </w:rPr>
            </w:pPr>
            <w:r>
              <w:rPr>
                <w:b/>
              </w:rPr>
              <w:t>Weighting</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8093" w:type="dxa"/>
            <w:tcBorders>
              <w:bottom w:val="single" w:sz="16" w:space="0" w:color="A41F35"/>
            </w:tcBorders>
            <w:tcMar>
              <w:bottom w:w="40" w:type="dxa"/>
            </w:tcMar>
            <w:vAlign w:val="center"/>
          </w:tcPr>
          <w:p>
            <w:pPr>
              <w:pStyle w:val="TableContents"/>
              <w:bidi w:val="0"/>
              <w:spacing w:before="0" w:after="283"/>
              <w:jc w:val="left"/>
              <w:rPr>
                <w:b/>
              </w:rPr>
            </w:pPr>
            <w:r>
              <w:rPr>
                <w:b/>
              </w:rPr>
              <w:t>Features</w:t>
            </w:r>
          </w:p>
        </w:tc>
      </w:tr>
      <w:tr>
        <w:trPr/>
        <w:tc>
          <w:tcPr>
            <w:tcW w:w="802" w:type="dxa"/>
            <w:tcBorders/>
            <w:shd w:fill="EFECE8" w:val="clear"/>
            <w:vAlign w:val="center"/>
          </w:tcPr>
          <w:p>
            <w:pPr>
              <w:pStyle w:val="TableContents"/>
              <w:bidi w:val="0"/>
              <w:spacing w:before="0" w:after="283"/>
              <w:jc w:val="left"/>
              <w:rPr>
                <w:sz w:val="4"/>
                <w:szCs w:val="4"/>
              </w:rPr>
            </w:pPr>
            <w:r>
              <w:rPr>
                <w:sz w:val="4"/>
                <w:szCs w:val="4"/>
              </w:rPr>
            </w:r>
          </w:p>
        </w:tc>
        <w:tc>
          <w:tcPr>
            <w:tcW w:w="1190" w:type="dxa"/>
            <w:gridSpan w:val="2"/>
            <w:tcBorders/>
            <w:shd w:fill="EFECE8" w:val="clear"/>
            <w:vAlign w:val="center"/>
          </w:tcPr>
          <w:p>
            <w:pPr>
              <w:pStyle w:val="TableContents"/>
              <w:bidi w:val="0"/>
              <w:spacing w:before="0" w:after="283"/>
              <w:jc w:val="left"/>
              <w:rPr>
                <w:sz w:val="4"/>
                <w:szCs w:val="4"/>
              </w:rPr>
            </w:pPr>
            <w:r>
              <w:rPr>
                <w:sz w:val="4"/>
                <w:szCs w:val="4"/>
              </w:rPr>
            </w:r>
          </w:p>
        </w:tc>
        <w:tc>
          <w:tcPr>
            <w:tcW w:w="8213"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802" w:type="dxa"/>
            <w:tcBorders/>
            <w:shd w:fill="EFECE8" w:val="clear"/>
            <w:vAlign w:val="center"/>
          </w:tcPr>
          <w:p>
            <w:pPr>
              <w:pStyle w:val="TableContents"/>
              <w:bidi w:val="0"/>
              <w:spacing w:before="0" w:after="0"/>
              <w:jc w:val="left"/>
              <w:rPr>
                <w:rFonts w:ascii="arial" w:hAnsi="arial"/>
                <w:sz w:val="18"/>
              </w:rPr>
            </w:pPr>
            <w:r>
              <w:rPr>
                <w:rFonts w:ascii="arial" w:hAnsi="arial"/>
                <w:sz w:val="18"/>
              </w:rPr>
              <w:t>Stock Options</w:t>
            </w:r>
          </w:p>
        </w:tc>
        <w:tc>
          <w:tcPr>
            <w:tcW w:w="120" w:type="dxa"/>
            <w:tcBorders/>
            <w:shd w:fill="EFECE8" w:val="clear"/>
            <w:vAlign w:val="center"/>
          </w:tcPr>
          <w:p>
            <w:pPr>
              <w:pStyle w:val="TableContents"/>
              <w:bidi w:val="0"/>
              <w:spacing w:before="0" w:after="283"/>
              <w:jc w:val="left"/>
              <w:rPr/>
            </w:pPr>
            <w:r>
              <w:rPr/>
              <w:t>  </w:t>
            </w:r>
          </w:p>
        </w:tc>
        <w:tc>
          <w:tcPr>
            <w:tcW w:w="1070" w:type="dxa"/>
            <w:tcBorders/>
            <w:shd w:fill="EFECE8" w:val="clear"/>
            <w:vAlign w:val="center"/>
          </w:tcPr>
          <w:p>
            <w:pPr>
              <w:pStyle w:val="TableContents"/>
              <w:bidi w:val="0"/>
              <w:spacing w:before="0" w:after="283"/>
              <w:jc w:val="center"/>
              <w:rPr/>
            </w:pPr>
            <w:r>
              <w:rPr/>
              <w:t>50%</w:t>
            </w:r>
          </w:p>
        </w:tc>
        <w:tc>
          <w:tcPr>
            <w:tcW w:w="120" w:type="dxa"/>
            <w:tcBorders/>
            <w:shd w:fill="EFECE8" w:val="clear"/>
            <w:vAlign w:val="center"/>
          </w:tcPr>
          <w:p>
            <w:pPr>
              <w:pStyle w:val="TableContents"/>
              <w:bidi w:val="0"/>
              <w:spacing w:before="0" w:after="283"/>
              <w:jc w:val="left"/>
              <w:rPr/>
            </w:pPr>
            <w:r>
              <w:rPr/>
              <w:t>  </w:t>
            </w:r>
          </w:p>
        </w:tc>
        <w:tc>
          <w:tcPr>
            <w:tcW w:w="8093" w:type="dxa"/>
            <w:tcBorders/>
            <w:shd w:fill="EFECE8" w:val="clear"/>
            <w:vAlign w:val="center"/>
          </w:tcPr>
          <w:p>
            <w:pPr>
              <w:pStyle w:val="TableContents"/>
              <w:bidi w:val="0"/>
              <w:spacing w:before="0" w:after="0"/>
              <w:jc w:val="left"/>
              <w:rPr/>
            </w:pPr>
            <w:r>
              <w:rPr>
                <w:color w:val="A41F35"/>
              </w:rPr>
              <w:t>•</w:t>
            </w:r>
            <w:r>
              <w:rPr/>
              <w:t xml:space="preserve">   </w:t>
            </w:r>
            <w:r>
              <w:rPr>
                <w:rFonts w:ascii="arial" w:hAnsi="arial"/>
                <w:sz w:val="18"/>
              </w:rPr>
              <w:t>Stock options are intended to align the interests of award recipients with those of shareholders since stock options only deliver value if our stock price appreciates after they are granted.</w:t>
            </w:r>
          </w:p>
          <w:p>
            <w:pPr>
              <w:pStyle w:val="TableContents"/>
              <w:bidi w:val="0"/>
              <w:spacing w:before="0" w:after="0"/>
              <w:jc w:val="left"/>
              <w:rPr/>
            </w:pPr>
            <w:r>
              <w:rPr/>
              <w:t> </w:t>
            </w:r>
          </w:p>
          <w:p>
            <w:pPr>
              <w:pStyle w:val="TableContents"/>
              <w:bidi w:val="0"/>
              <w:spacing w:before="0" w:after="20"/>
              <w:jc w:val="left"/>
              <w:rPr/>
            </w:pPr>
            <w:r>
              <w:rPr>
                <w:color w:val="A41F35"/>
              </w:rPr>
              <w:t>•</w:t>
            </w:r>
            <w:r>
              <w:rPr/>
              <w:t xml:space="preserve">   </w:t>
            </w:r>
            <w:r>
              <w:rPr>
                <w:rFonts w:ascii="arial" w:hAnsi="arial"/>
                <w:sz w:val="18"/>
              </w:rPr>
              <w:t>Stock options generally vest on a monthly basis over four years, generally subject to the named executive officer’s continued employment with us; for new hires, stock options generally vest 25% on the first anniversary of the grant date and the remaining shares vest in equal monthly installments over three years thereafter.</w:t>
            </w:r>
          </w:p>
        </w:tc>
      </w:tr>
      <w:tr>
        <w:trPr/>
        <w:tc>
          <w:tcPr>
            <w:tcW w:w="802" w:type="dxa"/>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8213" w:type="dxa"/>
            <w:gridSpan w:val="2"/>
            <w:tcBorders/>
            <w:vAlign w:val="center"/>
          </w:tcPr>
          <w:p>
            <w:pPr>
              <w:pStyle w:val="TableContents"/>
              <w:bidi w:val="0"/>
              <w:spacing w:before="0" w:after="283"/>
              <w:jc w:val="left"/>
              <w:rPr>
                <w:sz w:val="4"/>
                <w:szCs w:val="4"/>
              </w:rPr>
            </w:pPr>
            <w:r>
              <w:rPr>
                <w:sz w:val="4"/>
                <w:szCs w:val="4"/>
              </w:rPr>
            </w:r>
          </w:p>
        </w:tc>
      </w:tr>
      <w:tr>
        <w:trPr/>
        <w:tc>
          <w:tcPr>
            <w:tcW w:w="802"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RSUs</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070" w:type="dxa"/>
            <w:tcBorders>
              <w:bottom w:val="single" w:sz="8" w:space="0" w:color="A41F35"/>
            </w:tcBorders>
            <w:tcMar>
              <w:bottom w:w="40" w:type="dxa"/>
            </w:tcMar>
            <w:vAlign w:val="center"/>
          </w:tcPr>
          <w:p>
            <w:pPr>
              <w:pStyle w:val="TableContents"/>
              <w:bidi w:val="0"/>
              <w:spacing w:before="0" w:after="283"/>
              <w:jc w:val="center"/>
              <w:rPr/>
            </w:pPr>
            <w:r>
              <w:rPr/>
              <w:t>50%</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093" w:type="dxa"/>
            <w:tcBorders>
              <w:bottom w:val="single" w:sz="8" w:space="0" w:color="A41F35"/>
            </w:tcBorders>
            <w:tcMar>
              <w:bottom w:w="40" w:type="dxa"/>
            </w:tcMar>
            <w:vAlign w:val="center"/>
          </w:tcPr>
          <w:p>
            <w:pPr>
              <w:pStyle w:val="TableContents"/>
              <w:bidi w:val="0"/>
              <w:spacing w:before="0" w:after="0"/>
              <w:jc w:val="left"/>
              <w:rPr/>
            </w:pPr>
            <w:r>
              <w:rPr>
                <w:color w:val="A41F35"/>
              </w:rPr>
              <w:t>•</w:t>
            </w:r>
            <w:r>
              <w:rPr/>
              <w:t xml:space="preserve">   </w:t>
            </w:r>
            <w:r>
              <w:rPr>
                <w:rFonts w:ascii="arial" w:hAnsi="arial"/>
                <w:sz w:val="18"/>
              </w:rPr>
              <w:t>RSUs are intended to support our talent retention objectives while also aligning the interests of award recipients with those of shareholders since the value of RSUs is based on the value of our stock price.</w:t>
            </w:r>
          </w:p>
          <w:p>
            <w:pPr>
              <w:pStyle w:val="TableContents"/>
              <w:bidi w:val="0"/>
              <w:spacing w:before="0" w:after="0"/>
              <w:jc w:val="left"/>
              <w:rPr/>
            </w:pPr>
            <w:r>
              <w:rPr/>
              <w:t> </w:t>
            </w:r>
          </w:p>
          <w:p>
            <w:pPr>
              <w:pStyle w:val="TableContents"/>
              <w:bidi w:val="0"/>
              <w:spacing w:before="0" w:after="20"/>
              <w:jc w:val="left"/>
              <w:rPr/>
            </w:pPr>
            <w:r>
              <w:rPr>
                <w:color w:val="A41F35"/>
              </w:rPr>
              <w:t>•</w:t>
            </w:r>
            <w:r>
              <w:rPr/>
              <w:t xml:space="preserve">   </w:t>
            </w:r>
            <w:r>
              <w:rPr>
                <w:rFonts w:ascii="arial" w:hAnsi="arial"/>
                <w:sz w:val="18"/>
              </w:rPr>
              <w:t>RSUs generally vest on an annual basis over three years (four years, for new hires), generally subject to the named executive officer’s continued employment with us.</w:t>
            </w:r>
          </w:p>
        </w:tc>
      </w:tr>
    </w:tbl>
    <w:p>
      <w:pPr>
        <w:pStyle w:val="TextBody"/>
        <w:bidi w:val="0"/>
        <w:spacing w:before="160" w:after="0"/>
        <w:jc w:val="left"/>
        <w:rPr>
          <w:rFonts w:ascii="arial" w:hAnsi="arial"/>
          <w:sz w:val="18"/>
        </w:rPr>
      </w:pPr>
      <w:r>
        <w:rPr>
          <w:rFonts w:ascii="arial" w:hAnsi="arial"/>
          <w:sz w:val="18"/>
        </w:rPr>
        <w:t xml:space="preserve">Our Compensation Committee determined the target value of each named executive officer’s 2024 annual equity awards based on competitive market data, as described above, our strong performance in 2023, and each named executive officer’s past individual performance and expected future contributions. The target value for Mr. Hernandez’s new hire equity award granted in connection with his hire in December 2024 was determined based on these same factors. Based on the size of Mr. Ranganath’s new hire equity award and his June 2023 start date, consistent with our internal compensation practices for new leaders, Mr. Ranganath was not eligible for annual equity awards in 2024. The total target award grant date fair values for each other named executive officer for 2024 as approved by the Compensation Committee, and calculated using the average closing price over the 30-day period preceding the grant date, are shown in the table below: </w:t>
      </w:r>
    </w:p>
    <w:p>
      <w:pPr>
        <w:pStyle w:val="TextBody"/>
        <w:bidi w:val="0"/>
        <w:spacing w:before="0" w:after="0"/>
        <w:jc w:val="left"/>
        <w:rPr/>
      </w:pPr>
      <w:r>
        <w:rPr/>
        <w:t> </w:t>
      </w:r>
    </w:p>
    <w:tbl>
      <w:tblPr>
        <w:tblW w:w="6890" w:type="dxa"/>
        <w:jc w:val="left"/>
        <w:tblInd w:w="0" w:type="dxa"/>
        <w:tblLayout w:type="fixed"/>
        <w:tblCellMar>
          <w:top w:w="0" w:type="dxa"/>
          <w:left w:w="0" w:type="dxa"/>
          <w:bottom w:w="0" w:type="dxa"/>
          <w:right w:w="0" w:type="dxa"/>
        </w:tblCellMar>
      </w:tblPr>
      <w:tblGrid>
        <w:gridCol w:w="2285"/>
        <w:gridCol w:w="120"/>
        <w:gridCol w:w="78"/>
        <w:gridCol w:w="182"/>
        <w:gridCol w:w="1274"/>
        <w:gridCol w:w="31"/>
        <w:gridCol w:w="120"/>
        <w:gridCol w:w="67"/>
        <w:gridCol w:w="157"/>
        <w:gridCol w:w="1103"/>
        <w:gridCol w:w="28"/>
        <w:gridCol w:w="120"/>
        <w:gridCol w:w="65"/>
        <w:gridCol w:w="152"/>
        <w:gridCol w:w="1066"/>
        <w:gridCol w:w="42"/>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Named Executive Officer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6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Stock</w:t>
              <w:br/>
              <w:t>Options Target</w:t>
              <w:br/>
              <w:t>Grant Date</w:t>
              <w:br/>
              <w:t>Value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5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RSUs Target</w:t>
              <w:br/>
              <w:t>Grant Date</w:t>
              <w:br/>
              <w:t>Value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2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Total Target</w:t>
              <w:br/>
              <w:t>Grant Date</w:t>
              <w:br/>
              <w:t>Value</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685" w:type="dxa"/>
            <w:gridSpan w:val="5"/>
            <w:tcBorders/>
            <w:shd w:fill="EFECE8" w:val="clear"/>
            <w:vAlign w:val="center"/>
          </w:tcPr>
          <w:p>
            <w:pPr>
              <w:pStyle w:val="TableContents"/>
              <w:bidi w:val="0"/>
              <w:spacing w:before="0" w:after="283"/>
              <w:jc w:val="left"/>
              <w:rPr>
                <w:sz w:val="4"/>
                <w:szCs w:val="4"/>
              </w:rPr>
            </w:pPr>
            <w:r>
              <w:rPr>
                <w:sz w:val="4"/>
                <w:szCs w:val="4"/>
              </w:rPr>
            </w:r>
          </w:p>
        </w:tc>
        <w:tc>
          <w:tcPr>
            <w:tcW w:w="1475" w:type="dxa"/>
            <w:gridSpan w:val="5"/>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w:t>
            </w:r>
          </w:p>
        </w:tc>
        <w:tc>
          <w:tcPr>
            <w:tcW w:w="1274" w:type="dxa"/>
            <w:tcBorders/>
            <w:shd w:fill="EFECE8" w:val="clear"/>
            <w:vAlign w:val="center"/>
          </w:tcPr>
          <w:p>
            <w:pPr>
              <w:pStyle w:val="TableContents"/>
              <w:bidi w:val="0"/>
              <w:spacing w:before="0" w:after="283"/>
              <w:jc w:val="right"/>
              <w:rPr/>
            </w:pPr>
            <w:r>
              <w:rPr/>
              <w:t>3,212,500</w:t>
            </w:r>
          </w:p>
        </w:tc>
        <w:tc>
          <w:tcPr>
            <w:tcW w:w="3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7" w:type="dxa"/>
            <w:tcBorders/>
            <w:shd w:fill="EFECE8" w:val="clear"/>
            <w:vAlign w:val="center"/>
          </w:tcPr>
          <w:p>
            <w:pPr>
              <w:pStyle w:val="TableContents"/>
              <w:bidi w:val="0"/>
              <w:spacing w:before="0" w:after="283"/>
              <w:jc w:val="left"/>
              <w:rPr/>
            </w:pPr>
            <w:r>
              <w:rPr/>
              <w:t> </w:t>
            </w:r>
          </w:p>
        </w:tc>
        <w:tc>
          <w:tcPr>
            <w:tcW w:w="157" w:type="dxa"/>
            <w:tcBorders/>
            <w:shd w:fill="EFECE8" w:val="clear"/>
            <w:vAlign w:val="center"/>
          </w:tcPr>
          <w:p>
            <w:pPr>
              <w:pStyle w:val="TableContents"/>
              <w:bidi w:val="0"/>
              <w:spacing w:before="0" w:after="283"/>
              <w:jc w:val="left"/>
              <w:rPr/>
            </w:pPr>
            <w:r>
              <w:rPr/>
              <w:t>$</w:t>
            </w:r>
          </w:p>
        </w:tc>
        <w:tc>
          <w:tcPr>
            <w:tcW w:w="1103" w:type="dxa"/>
            <w:tcBorders/>
            <w:shd w:fill="EFECE8" w:val="clear"/>
            <w:vAlign w:val="center"/>
          </w:tcPr>
          <w:p>
            <w:pPr>
              <w:pStyle w:val="TableContents"/>
              <w:bidi w:val="0"/>
              <w:spacing w:before="0" w:after="283"/>
              <w:jc w:val="right"/>
              <w:rPr/>
            </w:pPr>
            <w:r>
              <w:rPr/>
              <w:t>3,212,500</w:t>
            </w:r>
          </w:p>
        </w:tc>
        <w:tc>
          <w:tcPr>
            <w:tcW w:w="2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 w:type="dxa"/>
            <w:tcBorders/>
            <w:shd w:fill="EFECE8" w:val="clear"/>
            <w:vAlign w:val="center"/>
          </w:tcPr>
          <w:p>
            <w:pPr>
              <w:pStyle w:val="TableContents"/>
              <w:bidi w:val="0"/>
              <w:spacing w:before="0" w:after="283"/>
              <w:jc w:val="left"/>
              <w:rPr/>
            </w:pPr>
            <w:r>
              <w:rPr/>
              <w:t> </w:t>
            </w:r>
          </w:p>
        </w:tc>
        <w:tc>
          <w:tcPr>
            <w:tcW w:w="152" w:type="dxa"/>
            <w:tcBorders/>
            <w:shd w:fill="EFECE8" w:val="clear"/>
            <w:vAlign w:val="center"/>
          </w:tcPr>
          <w:p>
            <w:pPr>
              <w:pStyle w:val="TableContents"/>
              <w:bidi w:val="0"/>
              <w:spacing w:before="0" w:after="283"/>
              <w:jc w:val="left"/>
              <w:rPr/>
            </w:pPr>
            <w:r>
              <w:rPr/>
              <w:t>$</w:t>
            </w:r>
          </w:p>
        </w:tc>
        <w:tc>
          <w:tcPr>
            <w:tcW w:w="1066" w:type="dxa"/>
            <w:tcBorders/>
            <w:shd w:fill="EFECE8" w:val="clear"/>
            <w:vAlign w:val="center"/>
          </w:tcPr>
          <w:p>
            <w:pPr>
              <w:pStyle w:val="TableContents"/>
              <w:bidi w:val="0"/>
              <w:spacing w:before="0" w:after="283"/>
              <w:jc w:val="right"/>
              <w:rPr/>
            </w:pPr>
            <w:r>
              <w:rPr/>
              <w:t>6,425,000</w:t>
            </w:r>
          </w:p>
        </w:tc>
        <w:tc>
          <w:tcPr>
            <w:tcW w:w="42"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685"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1,000,000</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1,000,000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2,000,000</w:t>
            </w:r>
          </w:p>
        </w:tc>
        <w:tc>
          <w:tcPr>
            <w:tcW w:w="42"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685" w:type="dxa"/>
            <w:gridSpan w:val="5"/>
            <w:tcBorders/>
            <w:shd w:fill="EFECE8" w:val="clear"/>
            <w:vAlign w:val="center"/>
          </w:tcPr>
          <w:p>
            <w:pPr>
              <w:pStyle w:val="TableContents"/>
              <w:bidi w:val="0"/>
              <w:spacing w:before="0" w:after="283"/>
              <w:jc w:val="left"/>
              <w:rPr>
                <w:sz w:val="4"/>
                <w:szCs w:val="4"/>
              </w:rPr>
            </w:pPr>
            <w:r>
              <w:rPr>
                <w:sz w:val="4"/>
                <w:szCs w:val="4"/>
              </w:rPr>
            </w:r>
          </w:p>
        </w:tc>
        <w:tc>
          <w:tcPr>
            <w:tcW w:w="1475" w:type="dxa"/>
            <w:gridSpan w:val="5"/>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w:t>
            </w:r>
          </w:p>
        </w:tc>
        <w:tc>
          <w:tcPr>
            <w:tcW w:w="1274" w:type="dxa"/>
            <w:tcBorders/>
            <w:shd w:fill="EFECE8" w:val="clear"/>
            <w:vAlign w:val="center"/>
          </w:tcPr>
          <w:p>
            <w:pPr>
              <w:pStyle w:val="TableContents"/>
              <w:bidi w:val="0"/>
              <w:spacing w:before="0" w:after="283"/>
              <w:jc w:val="right"/>
              <w:rPr/>
            </w:pPr>
            <w:r>
              <w:rPr/>
              <w:t>1,060,000</w:t>
            </w:r>
          </w:p>
        </w:tc>
        <w:tc>
          <w:tcPr>
            <w:tcW w:w="3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7" w:type="dxa"/>
            <w:tcBorders/>
            <w:shd w:fill="EFECE8" w:val="clear"/>
            <w:vAlign w:val="center"/>
          </w:tcPr>
          <w:p>
            <w:pPr>
              <w:pStyle w:val="TableContents"/>
              <w:bidi w:val="0"/>
              <w:spacing w:before="0" w:after="283"/>
              <w:jc w:val="left"/>
              <w:rPr/>
            </w:pPr>
            <w:r>
              <w:rPr/>
              <w:t> </w:t>
            </w:r>
          </w:p>
        </w:tc>
        <w:tc>
          <w:tcPr>
            <w:tcW w:w="157" w:type="dxa"/>
            <w:tcBorders/>
            <w:shd w:fill="EFECE8" w:val="clear"/>
            <w:vAlign w:val="center"/>
          </w:tcPr>
          <w:p>
            <w:pPr>
              <w:pStyle w:val="TableContents"/>
              <w:bidi w:val="0"/>
              <w:spacing w:before="0" w:after="283"/>
              <w:jc w:val="left"/>
              <w:rPr/>
            </w:pPr>
            <w:r>
              <w:rPr/>
              <w:t>$</w:t>
            </w:r>
          </w:p>
        </w:tc>
        <w:tc>
          <w:tcPr>
            <w:tcW w:w="1103" w:type="dxa"/>
            <w:tcBorders/>
            <w:shd w:fill="EFECE8" w:val="clear"/>
            <w:vAlign w:val="center"/>
          </w:tcPr>
          <w:p>
            <w:pPr>
              <w:pStyle w:val="TableContents"/>
              <w:bidi w:val="0"/>
              <w:spacing w:before="0" w:after="283"/>
              <w:jc w:val="right"/>
              <w:rPr/>
            </w:pPr>
            <w:r>
              <w:rPr/>
              <w:t>1,060,000</w:t>
            </w:r>
          </w:p>
        </w:tc>
        <w:tc>
          <w:tcPr>
            <w:tcW w:w="2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 w:type="dxa"/>
            <w:tcBorders/>
            <w:shd w:fill="EFECE8" w:val="clear"/>
            <w:vAlign w:val="center"/>
          </w:tcPr>
          <w:p>
            <w:pPr>
              <w:pStyle w:val="TableContents"/>
              <w:bidi w:val="0"/>
              <w:spacing w:before="0" w:after="283"/>
              <w:jc w:val="left"/>
              <w:rPr/>
            </w:pPr>
            <w:r>
              <w:rPr/>
              <w:t> </w:t>
            </w:r>
          </w:p>
        </w:tc>
        <w:tc>
          <w:tcPr>
            <w:tcW w:w="152" w:type="dxa"/>
            <w:tcBorders/>
            <w:shd w:fill="EFECE8" w:val="clear"/>
            <w:vAlign w:val="center"/>
          </w:tcPr>
          <w:p>
            <w:pPr>
              <w:pStyle w:val="TableContents"/>
              <w:bidi w:val="0"/>
              <w:spacing w:before="0" w:after="283"/>
              <w:jc w:val="left"/>
              <w:rPr/>
            </w:pPr>
            <w:r>
              <w:rPr/>
              <w:t>$</w:t>
            </w:r>
          </w:p>
        </w:tc>
        <w:tc>
          <w:tcPr>
            <w:tcW w:w="1066" w:type="dxa"/>
            <w:tcBorders/>
            <w:shd w:fill="EFECE8" w:val="clear"/>
            <w:vAlign w:val="center"/>
          </w:tcPr>
          <w:p>
            <w:pPr>
              <w:pStyle w:val="TableContents"/>
              <w:bidi w:val="0"/>
              <w:spacing w:before="0" w:after="283"/>
              <w:jc w:val="right"/>
              <w:rPr/>
            </w:pPr>
            <w:r>
              <w:rPr/>
              <w:t>2,120,000</w:t>
            </w:r>
          </w:p>
        </w:tc>
        <w:tc>
          <w:tcPr>
            <w:tcW w:w="42"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685"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1,000,000</w:t>
            </w:r>
          </w:p>
        </w:tc>
        <w:tc>
          <w:tcPr>
            <w:tcW w:w="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1,000,000</w:t>
            </w:r>
          </w:p>
        </w:tc>
        <w:tc>
          <w:tcPr>
            <w:tcW w:w="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w:t>
            </w:r>
          </w:p>
        </w:tc>
        <w:tc>
          <w:tcPr>
            <w:tcW w:w="1066" w:type="dxa"/>
            <w:tcBorders/>
            <w:vAlign w:val="center"/>
          </w:tcPr>
          <w:p>
            <w:pPr>
              <w:pStyle w:val="TableContents"/>
              <w:bidi w:val="0"/>
              <w:spacing w:before="0" w:after="283"/>
              <w:jc w:val="right"/>
              <w:rPr/>
            </w:pPr>
            <w:r>
              <w:rPr/>
              <w:t>2,000,000</w:t>
            </w:r>
          </w:p>
        </w:tc>
        <w:tc>
          <w:tcPr>
            <w:tcW w:w="42"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685" w:type="dxa"/>
            <w:gridSpan w:val="5"/>
            <w:tcBorders/>
            <w:shd w:fill="EFECE8" w:val="clear"/>
            <w:vAlign w:val="center"/>
          </w:tcPr>
          <w:p>
            <w:pPr>
              <w:pStyle w:val="TableContents"/>
              <w:bidi w:val="0"/>
              <w:spacing w:before="0" w:after="283"/>
              <w:jc w:val="left"/>
              <w:rPr>
                <w:sz w:val="4"/>
                <w:szCs w:val="4"/>
              </w:rPr>
            </w:pPr>
            <w:r>
              <w:rPr>
                <w:sz w:val="4"/>
                <w:szCs w:val="4"/>
              </w:rPr>
            </w:r>
          </w:p>
        </w:tc>
        <w:tc>
          <w:tcPr>
            <w:tcW w:w="1475" w:type="dxa"/>
            <w:gridSpan w:val="5"/>
            <w:tcBorders/>
            <w:shd w:fill="EFECE8" w:val="clear"/>
            <w:vAlign w:val="center"/>
          </w:tcPr>
          <w:p>
            <w:pPr>
              <w:pStyle w:val="TableContents"/>
              <w:bidi w:val="0"/>
              <w:spacing w:before="0" w:after="283"/>
              <w:jc w:val="left"/>
              <w:rPr>
                <w:sz w:val="4"/>
                <w:szCs w:val="4"/>
              </w:rPr>
            </w:pPr>
            <w:r>
              <w:rPr>
                <w:sz w:val="4"/>
                <w:szCs w:val="4"/>
              </w:rPr>
            </w:r>
          </w:p>
        </w:tc>
        <w:tc>
          <w:tcPr>
            <w:tcW w:w="144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78"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 </w:t>
            </w:r>
          </w:p>
        </w:tc>
        <w:tc>
          <w:tcPr>
            <w:tcW w:w="1274" w:type="dxa"/>
            <w:tcBorders/>
            <w:shd w:fill="EFECE8" w:val="clear"/>
            <w:vAlign w:val="center"/>
          </w:tcPr>
          <w:p>
            <w:pPr>
              <w:pStyle w:val="TableContents"/>
              <w:bidi w:val="0"/>
              <w:spacing w:before="0" w:after="283"/>
              <w:jc w:val="right"/>
              <w:rPr/>
            </w:pPr>
            <w:r>
              <w:rPr/>
              <w:t>n/a</w:t>
            </w:r>
          </w:p>
        </w:tc>
        <w:tc>
          <w:tcPr>
            <w:tcW w:w="3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7" w:type="dxa"/>
            <w:tcBorders/>
            <w:shd w:fill="EFECE8" w:val="clear"/>
            <w:vAlign w:val="center"/>
          </w:tcPr>
          <w:p>
            <w:pPr>
              <w:pStyle w:val="TableContents"/>
              <w:bidi w:val="0"/>
              <w:spacing w:before="0" w:after="283"/>
              <w:jc w:val="left"/>
              <w:rPr/>
            </w:pPr>
            <w:r>
              <w:rPr/>
              <w:t> </w:t>
            </w:r>
          </w:p>
        </w:tc>
        <w:tc>
          <w:tcPr>
            <w:tcW w:w="157" w:type="dxa"/>
            <w:tcBorders/>
            <w:shd w:fill="EFECE8" w:val="clear"/>
            <w:vAlign w:val="center"/>
          </w:tcPr>
          <w:p>
            <w:pPr>
              <w:pStyle w:val="TableContents"/>
              <w:bidi w:val="0"/>
              <w:spacing w:before="0" w:after="283"/>
              <w:jc w:val="left"/>
              <w:rPr/>
            </w:pPr>
            <w:r>
              <w:rPr/>
              <w:t> </w:t>
            </w:r>
          </w:p>
        </w:tc>
        <w:tc>
          <w:tcPr>
            <w:tcW w:w="1103" w:type="dxa"/>
            <w:tcBorders/>
            <w:shd w:fill="EFECE8" w:val="clear"/>
            <w:vAlign w:val="center"/>
          </w:tcPr>
          <w:p>
            <w:pPr>
              <w:pStyle w:val="TableContents"/>
              <w:bidi w:val="0"/>
              <w:spacing w:before="0" w:after="283"/>
              <w:jc w:val="right"/>
              <w:rPr/>
            </w:pPr>
            <w:r>
              <w:rPr/>
              <w:t>n/a</w:t>
            </w:r>
          </w:p>
        </w:tc>
        <w:tc>
          <w:tcPr>
            <w:tcW w:w="2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5" w:type="dxa"/>
            <w:tcBorders/>
            <w:shd w:fill="EFECE8" w:val="clear"/>
            <w:vAlign w:val="center"/>
          </w:tcPr>
          <w:p>
            <w:pPr>
              <w:pStyle w:val="TableContents"/>
              <w:bidi w:val="0"/>
              <w:spacing w:before="0" w:after="283"/>
              <w:jc w:val="left"/>
              <w:rPr/>
            </w:pPr>
            <w:r>
              <w:rPr/>
              <w:t> </w:t>
            </w:r>
          </w:p>
        </w:tc>
        <w:tc>
          <w:tcPr>
            <w:tcW w:w="152" w:type="dxa"/>
            <w:tcBorders/>
            <w:shd w:fill="EFECE8" w:val="clear"/>
            <w:vAlign w:val="center"/>
          </w:tcPr>
          <w:p>
            <w:pPr>
              <w:pStyle w:val="TableContents"/>
              <w:bidi w:val="0"/>
              <w:spacing w:before="0" w:after="283"/>
              <w:jc w:val="left"/>
              <w:rPr/>
            </w:pPr>
            <w:r>
              <w:rPr/>
              <w:t> </w:t>
            </w:r>
          </w:p>
        </w:tc>
        <w:tc>
          <w:tcPr>
            <w:tcW w:w="1066" w:type="dxa"/>
            <w:tcBorders/>
            <w:shd w:fill="EFECE8" w:val="clear"/>
            <w:vAlign w:val="center"/>
          </w:tcPr>
          <w:p>
            <w:pPr>
              <w:pStyle w:val="TableContents"/>
              <w:bidi w:val="0"/>
              <w:spacing w:before="0" w:after="283"/>
              <w:jc w:val="right"/>
              <w:rPr/>
            </w:pPr>
            <w:r>
              <w:rPr/>
              <w:t>n/a</w:t>
            </w:r>
          </w:p>
        </w:tc>
        <w:tc>
          <w:tcPr>
            <w:tcW w:w="42"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685"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445"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78" w:type="dxa"/>
            <w:tcBorders>
              <w:bottom w:val="single" w:sz="8" w:space="0" w:color="A41F35"/>
            </w:tcBorders>
            <w:tcMar>
              <w:bottom w:w="28" w:type="dxa"/>
            </w:tcMar>
            <w:vAlign w:val="center"/>
          </w:tcPr>
          <w:p>
            <w:pPr>
              <w:pStyle w:val="TableContents"/>
              <w:bidi w:val="0"/>
              <w:spacing w:before="0" w:after="283"/>
              <w:jc w:val="left"/>
              <w:rPr/>
            </w:pPr>
            <w:r>
              <w:rPr/>
              <w:t> </w:t>
            </w:r>
          </w:p>
        </w:tc>
        <w:tc>
          <w:tcPr>
            <w:tcW w:w="182" w:type="dxa"/>
            <w:tcBorders>
              <w:bottom w:val="single" w:sz="8" w:space="0" w:color="A41F35"/>
            </w:tcBorders>
            <w:tcMar>
              <w:bottom w:w="40" w:type="dxa"/>
            </w:tcMar>
            <w:vAlign w:val="center"/>
          </w:tcPr>
          <w:p>
            <w:pPr>
              <w:pStyle w:val="TableContents"/>
              <w:bidi w:val="0"/>
              <w:spacing w:before="0" w:after="283"/>
              <w:jc w:val="left"/>
              <w:rPr/>
            </w:pPr>
            <w:r>
              <w:rPr/>
              <w:t>$</w:t>
            </w:r>
          </w:p>
        </w:tc>
        <w:tc>
          <w:tcPr>
            <w:tcW w:w="1274" w:type="dxa"/>
            <w:tcBorders>
              <w:bottom w:val="single" w:sz="8" w:space="0" w:color="A41F35"/>
            </w:tcBorders>
            <w:tcMar>
              <w:bottom w:w="40" w:type="dxa"/>
            </w:tcMar>
            <w:vAlign w:val="center"/>
          </w:tcPr>
          <w:p>
            <w:pPr>
              <w:pStyle w:val="TableContents"/>
              <w:bidi w:val="0"/>
              <w:spacing w:before="0" w:after="283"/>
              <w:jc w:val="right"/>
              <w:rPr/>
            </w:pPr>
            <w:r>
              <w:rPr/>
              <w:t>1,060,000</w:t>
            </w:r>
          </w:p>
        </w:tc>
        <w:tc>
          <w:tcPr>
            <w:tcW w:w="31"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7" w:type="dxa"/>
            <w:tcBorders>
              <w:bottom w:val="single" w:sz="8" w:space="0" w:color="A41F35"/>
            </w:tcBorders>
            <w:tcMar>
              <w:bottom w:w="28" w:type="dxa"/>
            </w:tcMar>
            <w:vAlign w:val="center"/>
          </w:tcPr>
          <w:p>
            <w:pPr>
              <w:pStyle w:val="TableContents"/>
              <w:bidi w:val="0"/>
              <w:spacing w:before="0" w:after="283"/>
              <w:jc w:val="left"/>
              <w:rPr/>
            </w:pPr>
            <w:r>
              <w:rPr/>
              <w:t> </w:t>
            </w:r>
          </w:p>
        </w:tc>
        <w:tc>
          <w:tcPr>
            <w:tcW w:w="157" w:type="dxa"/>
            <w:tcBorders>
              <w:bottom w:val="single" w:sz="8" w:space="0" w:color="A41F35"/>
            </w:tcBorders>
            <w:tcMar>
              <w:bottom w:w="40" w:type="dxa"/>
            </w:tcMar>
            <w:vAlign w:val="center"/>
          </w:tcPr>
          <w:p>
            <w:pPr>
              <w:pStyle w:val="TableContents"/>
              <w:bidi w:val="0"/>
              <w:spacing w:before="0" w:after="283"/>
              <w:jc w:val="left"/>
              <w:rPr/>
            </w:pPr>
            <w:r>
              <w:rPr/>
              <w:t>$</w:t>
            </w:r>
          </w:p>
        </w:tc>
        <w:tc>
          <w:tcPr>
            <w:tcW w:w="1103" w:type="dxa"/>
            <w:tcBorders>
              <w:bottom w:val="single" w:sz="8" w:space="0" w:color="A41F35"/>
            </w:tcBorders>
            <w:tcMar>
              <w:bottom w:w="40" w:type="dxa"/>
            </w:tcMar>
            <w:vAlign w:val="center"/>
          </w:tcPr>
          <w:p>
            <w:pPr>
              <w:pStyle w:val="TableContents"/>
              <w:bidi w:val="0"/>
              <w:spacing w:before="0" w:after="283"/>
              <w:jc w:val="right"/>
              <w:rPr/>
            </w:pPr>
            <w:r>
              <w:rPr/>
              <w:t>1,060,000</w:t>
            </w:r>
          </w:p>
        </w:tc>
        <w:tc>
          <w:tcPr>
            <w:tcW w:w="28"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5" w:type="dxa"/>
            <w:tcBorders>
              <w:bottom w:val="single" w:sz="8" w:space="0" w:color="A41F35"/>
            </w:tcBorders>
            <w:tcMar>
              <w:bottom w:w="28" w:type="dxa"/>
            </w:tcMar>
            <w:vAlign w:val="center"/>
          </w:tcPr>
          <w:p>
            <w:pPr>
              <w:pStyle w:val="TableContents"/>
              <w:bidi w:val="0"/>
              <w:spacing w:before="0" w:after="283"/>
              <w:jc w:val="left"/>
              <w:rPr/>
            </w:pPr>
            <w:r>
              <w:rPr/>
              <w:t> </w:t>
            </w:r>
          </w:p>
        </w:tc>
        <w:tc>
          <w:tcPr>
            <w:tcW w:w="152" w:type="dxa"/>
            <w:tcBorders>
              <w:bottom w:val="single" w:sz="8" w:space="0" w:color="A41F35"/>
            </w:tcBorders>
            <w:tcMar>
              <w:bottom w:w="40" w:type="dxa"/>
            </w:tcMar>
            <w:vAlign w:val="center"/>
          </w:tcPr>
          <w:p>
            <w:pPr>
              <w:pStyle w:val="TableContents"/>
              <w:bidi w:val="0"/>
              <w:spacing w:before="0" w:after="283"/>
              <w:jc w:val="left"/>
              <w:rPr/>
            </w:pPr>
            <w:r>
              <w:rPr/>
              <w:t>$</w:t>
            </w:r>
          </w:p>
        </w:tc>
        <w:tc>
          <w:tcPr>
            <w:tcW w:w="1066" w:type="dxa"/>
            <w:tcBorders>
              <w:bottom w:val="single" w:sz="8" w:space="0" w:color="A41F35"/>
            </w:tcBorders>
            <w:tcMar>
              <w:bottom w:w="40" w:type="dxa"/>
            </w:tcMar>
            <w:vAlign w:val="center"/>
          </w:tcPr>
          <w:p>
            <w:pPr>
              <w:pStyle w:val="TableContents"/>
              <w:bidi w:val="0"/>
              <w:spacing w:before="0" w:after="283"/>
              <w:jc w:val="right"/>
              <w:rPr/>
            </w:pPr>
            <w:r>
              <w:rPr/>
              <w:t>2,120,000</w:t>
            </w:r>
          </w:p>
        </w:tc>
        <w:tc>
          <w:tcPr>
            <w:tcW w:w="42"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number of shares subject to each award was determined by dividing the target award values by the average closing price of our common stock over a 30-day period preceding the grant date (and, for options, a Black-Scholes ratio). Values shown in the table above may differ from the values shown in the Summary Compensation Table and the Grants of Plan-Based Awards Table. </w:t>
      </w:r>
    </w:p>
    <w:p>
      <w:pPr>
        <w:pStyle w:val="TextBody"/>
        <w:bidi w:val="0"/>
        <w:spacing w:before="160" w:after="0"/>
        <w:jc w:val="left"/>
        <w:rPr>
          <w:rFonts w:ascii="arial" w:hAnsi="arial"/>
          <w:sz w:val="18"/>
        </w:rPr>
      </w:pPr>
      <w:r>
        <w:rPr>
          <w:rFonts w:ascii="arial" w:hAnsi="arial"/>
          <w:sz w:val="18"/>
        </w:rPr>
        <w:t xml:space="preserve">For Mr. Hernandez, awards in the table above reflect equity grants made in connection with the commencement of his employment. Subject to continued service, the stock options granted to Mr. Hernandez vest as to 25% of the underlying shares on the first anniversary of the grant date and as to the remaining shares in equal monthly installments over three years thereafter, and the RSUs granted to Mr. Hernandez vest as to 25% of the RSUs on each of the first four anniversaries of the grant date. For the other named executive officers who received equity awards in 2024, the stock options granted vest in equal monthly installments over four years and the RSUs granted vest in equal annual installments over three years, subject to continued service. </w:t>
      </w:r>
    </w:p>
    <w:p>
      <w:pPr>
        <w:pStyle w:val="TextBody"/>
        <w:bidi w:val="0"/>
        <w:spacing w:before="360" w:after="0"/>
        <w:jc w:val="left"/>
        <w:rPr>
          <w:rFonts w:ascii="arial" w:hAnsi="arial"/>
          <w:b/>
          <w:color w:val="A41F35"/>
          <w:sz w:val="28"/>
        </w:rPr>
      </w:pPr>
      <w:bookmarkStart w:id="22" w:name="toc803709_50"/>
      <w:bookmarkEnd w:id="22"/>
      <w:r>
        <w:rPr>
          <w:rFonts w:ascii="arial" w:hAnsi="arial"/>
          <w:b/>
          <w:color w:val="A41F35"/>
          <w:sz w:val="28"/>
        </w:rPr>
        <w:t xml:space="preserve">CFO Transition </w:t>
      </w:r>
    </w:p>
    <w:p>
      <w:pPr>
        <w:pStyle w:val="TextBody"/>
        <w:bidi w:val="0"/>
        <w:spacing w:before="120" w:after="0"/>
        <w:jc w:val="left"/>
        <w:rPr>
          <w:rFonts w:ascii="arial" w:hAnsi="arial"/>
          <w:sz w:val="18"/>
        </w:rPr>
      </w:pPr>
      <w:r>
        <w:rPr>
          <w:rFonts w:ascii="arial" w:hAnsi="arial"/>
          <w:sz w:val="18"/>
        </w:rPr>
        <w:t xml:space="preserve">In December 2024 we hired Mr. Hernandez as our Chief Financial Officer. In connection with his hire, our Compensation Committee made the compensation decisions described above, and Mr. Hernandez entered into a retention agreement with us, which is described under “Potential Payments Upon Termination or Change in Control” below. </w:t>
      </w:r>
    </w:p>
    <w:p>
      <w:pPr>
        <w:pStyle w:val="TextBody"/>
        <w:bidi w:val="0"/>
        <w:spacing w:before="160" w:after="0"/>
        <w:jc w:val="left"/>
        <w:rPr>
          <w:rFonts w:ascii="arial" w:hAnsi="arial"/>
          <w:sz w:val="18"/>
        </w:rPr>
      </w:pPr>
      <w:r>
        <w:rPr>
          <w:rFonts w:ascii="arial" w:hAnsi="arial"/>
          <w:sz w:val="18"/>
        </w:rPr>
        <w:t xml:space="preserve">In connection with his transition from Chief Financial Officer on December 2, 2024, Mr. Gordon entered into a transition agreement with the Company, which superseded and replaced his prior retention agreement, originally established in 2015 and amended in 2020. Prior to finalizing the transition agreement, the Compensation Committee engaged an independent third-party in 2024 to conduct a comprehensive analysis of severance benefits relative to the Company’s peer group and found that the severance benefits provided under Mr. Gordon’s retention agreement were below market compared to peers, in part because the retention agreement was originally entered into when the Company was a relatively small private company. The transition agreement reflects updated severance terms designed to align with market practices and the Company’s current executive severance framework, as well as to drive a seamless leadership transition. It also recognizes Mr. Gordon’s long service and exceptional contributions to the Company. </w:t>
      </w:r>
    </w:p>
    <w:p>
      <w:pPr>
        <w:pStyle w:val="TextBody"/>
        <w:bidi w:val="0"/>
        <w:spacing w:before="160" w:after="0"/>
        <w:jc w:val="left"/>
        <w:rPr>
          <w:rFonts w:ascii="arial" w:hAnsi="arial"/>
          <w:sz w:val="18"/>
        </w:rPr>
      </w:pPr>
      <w:r>
        <w:rPr>
          <w:rFonts w:ascii="arial" w:hAnsi="arial"/>
          <w:sz w:val="18"/>
        </w:rPr>
        <w:t xml:space="preserve">Under the terms of the transition agreement, Mr. Gordon will continue as a non-executive employee through March 31, 2025, followed by a consulting period through March 31, 2026. Mr. Gordon’s transition from Chief Financial Officer and termination of employment would have entitled him to receive severance payments and benefits under his retention agreement due on a termination without cause or good reason resignation. Under the transition agreement, while Mr. Gordon was employed as a non-executive employee, he continued to receive his base salary and remained eligible to receive his 2024 annual bonus. Mr. Gordon’s outstanding equity awards continued to vest in accordance with their terms during the period in which Mr. Gordon remained employed with the Company and will continue to vest in accordance with their terms during the period in which Mr. Gordon serves as a non-employee senior advisor for the Company. As a consultant, Mr. Gordon will also receive an annual fee of $10,000. Subject to Mr. Gordon’s execution of a release of claims and continued compliance with restrictive covenants, in connection with his termination of employment on March 31, 2025, Mr. Gordon will receive (i) an amount equal to the sum of his annual base salary ($477,000) plus his highest annual bonus during the preceding three years ($572,400) and (ii) Company-provided group health insurance benefits for up to 18 months. If Mr. Gordon’s consulting services are terminated by the Company without cause prior to March 31, 2026, any outstanding equity awards that would have continued to vest through March 31, 2026 (had he continued to provide services through such date) will accelerate upon such termination. The full terms of Mr. Gordon’s transition agreement are included in our Annual Report on Form 10-K, filed on February 27, 2025. </w:t>
      </w:r>
    </w:p>
    <w:p>
      <w:pPr>
        <w:pStyle w:val="TextBody"/>
        <w:bidi w:val="0"/>
        <w:spacing w:before="160" w:after="0"/>
        <w:jc w:val="left"/>
        <w:rPr>
          <w:rFonts w:ascii="arial" w:hAnsi="arial"/>
          <w:sz w:val="18"/>
        </w:rPr>
      </w:pPr>
      <w:r>
        <w:rPr>
          <w:rFonts w:ascii="arial" w:hAnsi="arial"/>
          <w:sz w:val="18"/>
        </w:rPr>
        <w:t xml:space="preserve">Under Generally Accepted Accounting Principles (GAAP) and SEC disclosure requirements, the full accounting value of the severance benefits provided in Mr. Gordon’s transition agreement is recognized in fiscal year 2024, even though Mr. Gordon will not receive any payments until after March 31, 2025. As a result, the total amount of severance payable under the transition agreement is included in the “All Other Compensation” column of the Summary Compensation Table for 2024, and modification charges relating to his equity awards are included in the “Stock Awards” and “Option Awards” columns of the Summary Compensation Table for 2024.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30</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bookmarkStart w:id="23" w:name="toc803709_20"/>
      <w:bookmarkEnd w:id="23"/>
      <w:r>
        <w:rPr>
          <w:rFonts w:ascii="arial" w:hAnsi="arial"/>
          <w:b/>
          <w:color w:val="A41F35"/>
          <w:sz w:val="28"/>
        </w:rPr>
        <w:t xml:space="preserve">Other Compensation Practices, Policies &amp; Guidelines </w:t>
      </w:r>
    </w:p>
    <w:p>
      <w:pPr>
        <w:pStyle w:val="TextBody"/>
        <w:bidi w:val="0"/>
        <w:spacing w:before="120" w:after="0"/>
        <w:jc w:val="left"/>
        <w:rPr>
          <w:rFonts w:ascii="arial" w:hAnsi="arial"/>
          <w:b/>
          <w:color w:val="A41F35"/>
          <w:sz w:val="28"/>
        </w:rPr>
      </w:pPr>
      <w:r>
        <w:rPr>
          <w:rFonts w:ascii="arial" w:hAnsi="arial"/>
          <w:b/>
          <w:color w:val="A41F35"/>
          <w:sz w:val="28"/>
        </w:rPr>
        <w:t xml:space="preserve">Stock Ownership Guidelines </w:t>
      </w:r>
    </w:p>
    <w:p>
      <w:pPr>
        <w:pStyle w:val="TextBody"/>
        <w:bidi w:val="0"/>
        <w:spacing w:before="120" w:after="0"/>
        <w:jc w:val="left"/>
        <w:rPr>
          <w:rFonts w:ascii="arial" w:hAnsi="arial"/>
          <w:sz w:val="18"/>
        </w:rPr>
      </w:pPr>
      <w:r>
        <w:rPr>
          <w:rFonts w:ascii="arial" w:hAnsi="arial"/>
          <w:sz w:val="18"/>
        </w:rPr>
        <w:t xml:space="preserve">The Board believes that our most senior executives (including our named executive officers) should hold meaningful equity ownership positions in the Company, in part to align our executives’ interests with those of our shareholders. Effective January 1, 2023, the Board adopted guidelines requiring each C-level executive to hold shares with a value equal to two (2) times the applicable executive’s base salary. </w:t>
      </w:r>
    </w:p>
    <w:p>
      <w:pPr>
        <w:pStyle w:val="TextBody"/>
        <w:bidi w:val="0"/>
        <w:spacing w:before="160" w:after="0"/>
        <w:jc w:val="left"/>
        <w:rPr>
          <w:rFonts w:ascii="arial" w:hAnsi="arial"/>
          <w:sz w:val="18"/>
        </w:rPr>
      </w:pPr>
      <w:r>
        <w:rPr>
          <w:rFonts w:ascii="arial" w:hAnsi="arial"/>
          <w:sz w:val="18"/>
        </w:rPr>
        <w:t xml:space="preserve">Executives will have five (5) years from the date of implementation of the stock ownership guidelines to attain the ownership threshold. Holdings that satisfy this stock ownership requirement include shares owned outright and unvested time-based RSUs. Vested and unvested stock options and unearned performance-based awards do not count towards satisfying the ownership requirement. </w:t>
      </w:r>
    </w:p>
    <w:p>
      <w:pPr>
        <w:pStyle w:val="TextBody"/>
        <w:bidi w:val="0"/>
        <w:spacing w:before="160" w:after="0"/>
        <w:jc w:val="left"/>
        <w:rPr>
          <w:rFonts w:ascii="arial" w:hAnsi="arial"/>
          <w:sz w:val="18"/>
        </w:rPr>
      </w:pPr>
      <w:r>
        <w:rPr>
          <w:rFonts w:ascii="arial" w:hAnsi="arial"/>
          <w:sz w:val="18"/>
        </w:rPr>
        <w:t xml:space="preserve">Compliance with stock ownership guidelines will be evaluated annually. All of our C-level executives are on track to be in compliance with the stock ownership guidelines. </w:t>
      </w:r>
    </w:p>
    <w:p>
      <w:pPr>
        <w:pStyle w:val="TextBody"/>
        <w:bidi w:val="0"/>
        <w:spacing w:before="360" w:after="0"/>
        <w:jc w:val="left"/>
        <w:rPr>
          <w:rFonts w:ascii="arial" w:hAnsi="arial"/>
          <w:b/>
          <w:color w:val="A41F35"/>
          <w:sz w:val="28"/>
        </w:rPr>
      </w:pPr>
      <w:r>
        <w:rPr>
          <w:rFonts w:ascii="arial" w:hAnsi="arial"/>
          <w:b/>
          <w:color w:val="A41F35"/>
          <w:sz w:val="28"/>
        </w:rPr>
        <w:t xml:space="preserve">Clawback Policy </w:t>
      </w:r>
    </w:p>
    <w:p>
      <w:pPr>
        <w:pStyle w:val="TextBody"/>
        <w:bidi w:val="0"/>
        <w:spacing w:before="120" w:after="0"/>
        <w:jc w:val="left"/>
        <w:rPr>
          <w:rFonts w:ascii="arial" w:hAnsi="arial"/>
          <w:sz w:val="18"/>
        </w:rPr>
      </w:pPr>
      <w:r>
        <w:rPr>
          <w:rFonts w:ascii="arial" w:hAnsi="arial"/>
          <w:sz w:val="18"/>
        </w:rPr>
        <w:t xml:space="preserve">The Board has adopted the Company’s Policy for Recoupment of Incentive Compensation (“Clawback Policy”), which is designed to comply with the Dodd-Frank Act, Section 10D-1 of the Exchange Act and the applicable listing standards of Nasdaq. The Clawback Policy requires the Company to recoup erroneously awarded incentive-based compensation received by each current or former officer of the Company subject to Section 16 of the Exchange Act, as amended, including all of our named executive officers, in the event the Company is required to prepare an accounting restatement due to its material noncompliance with any financial reporting requirement under the securities laws. The Clawback Policy generally applies to all cash-based or equity-based incentive compensation, bonus and/or awards received by a covered officer that is or was based, wholly or in part, upon the attainment of any financial reporting measure during the three completed fiscal years immediately preceding the date that the Company is required to prepare a restatement; provided that such compensation, bonus and/or award was received on or after October 2, 2023. The Clawback Policy was filed as an exhibit to the Company’s Form 10-K. </w:t>
      </w:r>
    </w:p>
    <w:p>
      <w:pPr>
        <w:pStyle w:val="TextBody"/>
        <w:bidi w:val="0"/>
        <w:spacing w:before="360" w:after="0"/>
        <w:jc w:val="left"/>
        <w:rPr>
          <w:rFonts w:ascii="arial" w:hAnsi="arial"/>
          <w:b/>
          <w:color w:val="A41F35"/>
          <w:sz w:val="28"/>
        </w:rPr>
      </w:pPr>
      <w:r>
        <w:rPr>
          <w:rFonts w:ascii="arial" w:hAnsi="arial"/>
          <w:b/>
          <w:color w:val="A41F35"/>
          <w:sz w:val="28"/>
        </w:rPr>
        <w:t xml:space="preserve">Employee Benefits </w:t>
      </w:r>
    </w:p>
    <w:p>
      <w:pPr>
        <w:pStyle w:val="TextBody"/>
        <w:bidi w:val="0"/>
        <w:spacing w:before="120" w:after="0"/>
        <w:jc w:val="left"/>
        <w:rPr>
          <w:rFonts w:ascii="arial" w:hAnsi="arial"/>
          <w:sz w:val="18"/>
        </w:rPr>
      </w:pPr>
      <w:r>
        <w:rPr>
          <w:rFonts w:ascii="arial" w:hAnsi="arial"/>
          <w:sz w:val="18"/>
        </w:rPr>
        <w:t xml:space="preserve">We maintain a tax-qualified retirement plan that provides all of our full-time U.S. employees, including our currently employed named executive officers, with an opportunity to save for retirement on a tax-advantaged basis. Under our 401(k) plan, participants may elect to defer a portion of their compensation on a pre-tax basis and have it contributed to the plan, subject to applicable annual limits under the Internal Revenue Code of 1986, as amended. Our named executive officers participate in our 401(k) plan on the same basis as other eligible employees. We do not maintain any qualified or non-qualified defined benefit plans or supplemental executive retirement plans that cover our named executive officers. </w:t>
      </w:r>
    </w:p>
    <w:p>
      <w:pPr>
        <w:pStyle w:val="TextBody"/>
        <w:bidi w:val="0"/>
        <w:spacing w:before="160" w:after="0"/>
        <w:jc w:val="left"/>
        <w:rPr>
          <w:rFonts w:ascii="arial" w:hAnsi="arial"/>
          <w:sz w:val="18"/>
        </w:rPr>
      </w:pPr>
      <w:r>
        <w:rPr>
          <w:rFonts w:ascii="arial" w:hAnsi="arial"/>
          <w:sz w:val="18"/>
        </w:rPr>
        <w:t xml:space="preserve">All of our full-time employees, including our currently employed named executive officers, are eligible to participate in our health and welfare plans, including medical, dental, vision, life and accidental death and dismemberment benefits and short-term and long-term disability insurance. Our named executive officers participate in these plans on the same basis as other eligible employees. We do not maintain any supplemental health or welfare plans for our named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pacing w:val="0"/>
          <w:sz w:val="28"/>
        </w:rPr>
      </w:pPr>
      <w:r>
        <w:rPr>
          <w:rFonts w:ascii="arial" w:hAnsi="arial"/>
          <w:b/>
          <w:color w:val="A41F35"/>
          <w:spacing w:val="0"/>
          <w:sz w:val="28"/>
        </w:rPr>
        <w:t xml:space="preserve">Change in Control and Severance Benefits </w:t>
      </w:r>
    </w:p>
    <w:p>
      <w:pPr>
        <w:pStyle w:val="TextBody"/>
        <w:bidi w:val="0"/>
        <w:spacing w:before="120" w:after="0"/>
        <w:jc w:val="left"/>
        <w:rPr>
          <w:rFonts w:ascii="arial" w:hAnsi="arial"/>
          <w:sz w:val="18"/>
        </w:rPr>
      </w:pPr>
      <w:r>
        <w:rPr>
          <w:rFonts w:ascii="arial" w:hAnsi="arial"/>
          <w:sz w:val="18"/>
        </w:rPr>
        <w:t xml:space="preserve">We have entered into offer letters with Mr. Hernandez, Dr. Khayal, Mr. Corcoran and Mr. Ranganath that set forth the initial terms and conditions of employment, and we have entered into retention agreements with Dr. Hassanein, Mr. Hernandez, Dr. Khayal, and Mr. Ranganath that provide for severance payments and benefits in connection with certain terminations of employment. Mr. Corcoran’s offer letter provides for severance payments in connection with certain terminations of employment. In addition, certain of the equity awards granted to our named executive officers would vest in connection with a qualifying termination of employment following a change in control. Prior to his termination of employment, we had also been party to a retention agreement with Mr. Gordon and, in connection with his transition we entered into a transition agreement with Mr. Gordon that provides for his entitlement to certain severance payments and benefits. The severance payments and benefits for all of our named executive officers are more fully described below under “Potential Payments upon Termination or Change in Control.” </w:t>
      </w:r>
    </w:p>
    <w:p>
      <w:pPr>
        <w:pStyle w:val="TextBody"/>
        <w:bidi w:val="0"/>
        <w:spacing w:before="160" w:after="0"/>
        <w:jc w:val="left"/>
        <w:rPr>
          <w:rFonts w:ascii="arial" w:hAnsi="arial"/>
          <w:sz w:val="18"/>
        </w:rPr>
      </w:pPr>
      <w:r>
        <w:rPr>
          <w:rFonts w:ascii="arial" w:hAnsi="arial"/>
          <w:sz w:val="18"/>
        </w:rPr>
        <w:t xml:space="preserve">Our Compensation Committee believes that reasonable severance payments and benefits are necessary to attract and retain executives and are important in incentivizing them to pursue a change in control transaction if it is in the best interests of our shareholders even if it creates uncertainty for them. </w:t>
      </w:r>
    </w:p>
    <w:p>
      <w:pPr>
        <w:pStyle w:val="TextBody"/>
        <w:bidi w:val="0"/>
        <w:spacing w:before="360" w:after="0"/>
        <w:jc w:val="left"/>
        <w:rPr>
          <w:rFonts w:ascii="arial" w:hAnsi="arial"/>
          <w:b/>
          <w:color w:val="A41F35"/>
          <w:spacing w:val="0"/>
          <w:sz w:val="28"/>
        </w:rPr>
      </w:pPr>
      <w:r>
        <w:rPr>
          <w:rFonts w:ascii="arial" w:hAnsi="arial"/>
          <w:b/>
          <w:color w:val="A41F35"/>
          <w:spacing w:val="0"/>
          <w:sz w:val="28"/>
        </w:rPr>
        <w:t xml:space="preserve">Anti-Hedging Policy </w:t>
      </w:r>
    </w:p>
    <w:p>
      <w:pPr>
        <w:pStyle w:val="TextBody"/>
        <w:bidi w:val="0"/>
        <w:spacing w:before="120" w:after="0"/>
        <w:jc w:val="left"/>
        <w:rPr>
          <w:rFonts w:ascii="arial" w:hAnsi="arial"/>
          <w:sz w:val="18"/>
        </w:rPr>
      </w:pPr>
      <w:r>
        <w:rPr>
          <w:rFonts w:ascii="arial" w:hAnsi="arial"/>
          <w:sz w:val="18"/>
        </w:rPr>
        <w:t xml:space="preserve">Our insider trading policy prohibits our directors, officers and employees from entering into hedging or monetization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When that occurs, the individual may no longer have the same objectives as our other shareholders. </w:t>
      </w:r>
    </w:p>
    <w:p>
      <w:pPr>
        <w:pStyle w:val="TextBody"/>
        <w:bidi w:val="0"/>
        <w:spacing w:before="360" w:after="0"/>
        <w:jc w:val="left"/>
        <w:rPr>
          <w:rFonts w:ascii="arial" w:hAnsi="arial"/>
          <w:b/>
          <w:color w:val="A41F35"/>
          <w:spacing w:val="0"/>
          <w:sz w:val="28"/>
        </w:rPr>
      </w:pPr>
      <w:r>
        <w:rPr>
          <w:rFonts w:ascii="arial" w:hAnsi="arial"/>
          <w:b/>
          <w:color w:val="A41F35"/>
          <w:spacing w:val="0"/>
          <w:sz w:val="28"/>
        </w:rPr>
        <w:t xml:space="preserve">Practices Related to the Grant of Certain Equity Awards </w:t>
      </w:r>
    </w:p>
    <w:p>
      <w:pPr>
        <w:pStyle w:val="TextBody"/>
        <w:bidi w:val="0"/>
        <w:spacing w:before="120" w:after="0"/>
        <w:jc w:val="left"/>
        <w:rPr>
          <w:rFonts w:ascii="arial" w:hAnsi="arial"/>
          <w:sz w:val="18"/>
        </w:rPr>
      </w:pPr>
      <w:r>
        <w:rPr>
          <w:rFonts w:ascii="arial" w:hAnsi="arial"/>
          <w:sz w:val="18"/>
        </w:rPr>
        <w:t xml:space="preserve">The Company generally maintains a structured equity grant timing process designed to ensure compliance with applicable securities laws, corporate governance best practices, and the avoidance of material nonpublic information (“MNPI”) in granting equity awards. The Compensation Committee generally grants annual equity-based awards to our executive officers in February of each year, in connection with our annual compensation review and approval process, although the exact timing may change from year to year. Our Compensation Committee may also grant equity awards, including RSUs and stock options, at different times of the year for new hires and in connection with promotions, or grants made for retention or other purposes.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275"/>
        <w:gridCol w:w="60"/>
        <w:gridCol w:w="260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spacing w:val="0"/>
              </w:rPr>
            </w:pPr>
            <w:r>
              <w:rPr>
                <w:b/>
                <w:spacing w:val="0"/>
              </w:rPr>
              <w:t>32</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b/>
                <w:color w:val="A41F35"/>
                <w:spacing w:val="0"/>
              </w:rPr>
            </w:pPr>
            <w:r>
              <w:rPr>
                <w:b/>
                <w:color w:val="A41F35"/>
                <w:spacing w:val="0"/>
              </w:rPr>
              <w:t>TransMedics Group, Inc.</w:t>
            </w:r>
          </w:p>
          <w:p>
            <w:pPr>
              <w:pStyle w:val="TableContents"/>
              <w:bidi w:val="0"/>
              <w:spacing w:before="0" w:after="0"/>
              <w:jc w:val="left"/>
              <w:rPr/>
            </w:pPr>
            <w:r>
              <w:rPr/>
              <w:t>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Stock option exercise prices are set at the closing price of the Company’s common stock on the grant date, in accordance with the Company’s equity plan and applicable securities regulations. This process is designed to prevent any appearance of opportunistic grant timing and to ensure that equity awards are made in a manner that reflects long-term stockholder value creation. Our Compensation Committee does not grant equity awards in anticipation of the release of MNPI and we have not timed the disclosure of MNPI for the purpose of affecting the value of executive compensation. During 2024, the Company granted the following stock options to named executive officers during a period beginning four business days before and ending one business day after the filing of any Company periodic report on Form </w:t>
      </w:r>
    </w:p>
    <w:p>
      <w:pPr>
        <w:pStyle w:val="TextBody"/>
        <w:bidi w:val="0"/>
        <w:spacing w:before="0" w:after="0"/>
        <w:jc w:val="left"/>
        <w:rPr>
          <w:rFonts w:ascii="arial" w:hAnsi="arial"/>
          <w:spacing w:val="0"/>
          <w:sz w:val="18"/>
        </w:rPr>
      </w:pPr>
      <w:r>
        <w:rPr>
          <w:rFonts w:ascii="arial" w:hAnsi="arial"/>
          <w:spacing w:val="0"/>
          <w:sz w:val="18"/>
        </w:rPr>
        <w:t>10-Q</w:t>
      </w:r>
    </w:p>
    <w:p>
      <w:pPr>
        <w:pStyle w:val="TextBody"/>
        <w:bidi w:val="0"/>
        <w:spacing w:before="0" w:after="0"/>
        <w:jc w:val="left"/>
        <w:rPr>
          <w:rFonts w:ascii="arial" w:hAnsi="arial"/>
          <w:sz w:val="18"/>
        </w:rPr>
      </w:pPr>
      <w:r>
        <w:rPr>
          <w:rFonts w:ascii="arial" w:hAnsi="arial"/>
          <w:sz w:val="18"/>
        </w:rPr>
        <w:t xml:space="preserve">or Form </w:t>
      </w:r>
    </w:p>
    <w:p>
      <w:pPr>
        <w:pStyle w:val="TextBody"/>
        <w:bidi w:val="0"/>
        <w:spacing w:before="0" w:after="0"/>
        <w:jc w:val="left"/>
        <w:rPr>
          <w:rFonts w:ascii="arial" w:hAnsi="arial"/>
          <w:spacing w:val="0"/>
          <w:sz w:val="18"/>
        </w:rPr>
      </w:pPr>
      <w:r>
        <w:rPr>
          <w:rFonts w:ascii="arial" w:hAnsi="arial"/>
          <w:spacing w:val="0"/>
          <w:sz w:val="18"/>
        </w:rPr>
        <w:t>10-K,</w:t>
      </w:r>
    </w:p>
    <w:p>
      <w:pPr>
        <w:pStyle w:val="TextBody"/>
        <w:bidi w:val="0"/>
        <w:spacing w:before="0" w:after="0"/>
        <w:jc w:val="left"/>
        <w:rPr>
          <w:rFonts w:ascii="arial" w:hAnsi="arial"/>
          <w:sz w:val="18"/>
        </w:rPr>
      </w:pPr>
      <w:r>
        <w:rPr>
          <w:rFonts w:ascii="arial" w:hAnsi="arial"/>
          <w:sz w:val="18"/>
        </w:rPr>
        <w:t xml:space="preserve">or the filing or furnishing of any Company current report on Form </w:t>
      </w:r>
    </w:p>
    <w:p>
      <w:pPr>
        <w:pStyle w:val="TextBody"/>
        <w:bidi w:val="0"/>
        <w:spacing w:before="0" w:after="0"/>
        <w:jc w:val="left"/>
        <w:rPr>
          <w:rFonts w:ascii="arial" w:hAnsi="arial"/>
          <w:spacing w:val="0"/>
          <w:sz w:val="18"/>
        </w:rPr>
      </w:pPr>
      <w:r>
        <w:rPr>
          <w:rFonts w:ascii="arial" w:hAnsi="arial"/>
          <w:spacing w:val="0"/>
          <w:sz w:val="18"/>
        </w:rPr>
        <w:t>8-K</w:t>
      </w:r>
    </w:p>
    <w:p>
      <w:pPr>
        <w:pStyle w:val="TextBody"/>
        <w:bidi w:val="0"/>
        <w:spacing w:before="0" w:after="0"/>
        <w:jc w:val="left"/>
        <w:rPr>
          <w:rFonts w:ascii="arial" w:hAnsi="arial"/>
          <w:sz w:val="18"/>
        </w:rPr>
      </w:pPr>
      <w:r>
        <w:rPr>
          <w:rFonts w:ascii="arial" w:hAnsi="arial"/>
          <w:sz w:val="18"/>
        </w:rPr>
        <w:t xml:space="preserve">(other than a current report on Form </w:t>
      </w:r>
    </w:p>
    <w:p>
      <w:pPr>
        <w:pStyle w:val="TextBody"/>
        <w:bidi w:val="0"/>
        <w:spacing w:before="0" w:after="0"/>
        <w:jc w:val="left"/>
        <w:rPr>
          <w:rFonts w:ascii="arial" w:hAnsi="arial"/>
          <w:spacing w:val="0"/>
          <w:sz w:val="18"/>
        </w:rPr>
      </w:pPr>
      <w:r>
        <w:rPr>
          <w:rFonts w:ascii="arial" w:hAnsi="arial"/>
          <w:spacing w:val="0"/>
          <w:sz w:val="18"/>
        </w:rPr>
        <w:t>8-K</w:t>
      </w:r>
    </w:p>
    <w:p>
      <w:pPr>
        <w:pStyle w:val="TextBody"/>
        <w:bidi w:val="0"/>
        <w:spacing w:before="0" w:after="0"/>
        <w:jc w:val="left"/>
        <w:rPr>
          <w:rFonts w:ascii="arial" w:hAnsi="arial"/>
          <w:sz w:val="18"/>
        </w:rPr>
      </w:pPr>
      <w:r>
        <w:rPr>
          <w:rFonts w:ascii="arial" w:hAnsi="arial"/>
          <w:sz w:val="18"/>
        </w:rPr>
        <w:t xml:space="preserve">disclosing a material new option award grant under Item 5.02(e) of that form) that disclosed any MNPI: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65"/>
        <w:gridCol w:w="120"/>
        <w:gridCol w:w="60"/>
        <w:gridCol w:w="60"/>
        <w:gridCol w:w="941"/>
        <w:gridCol w:w="23"/>
        <w:gridCol w:w="120"/>
        <w:gridCol w:w="82"/>
        <w:gridCol w:w="82"/>
        <w:gridCol w:w="933"/>
        <w:gridCol w:w="33"/>
        <w:gridCol w:w="120"/>
        <w:gridCol w:w="80"/>
        <w:gridCol w:w="188"/>
        <w:gridCol w:w="754"/>
        <w:gridCol w:w="33"/>
        <w:gridCol w:w="120"/>
        <w:gridCol w:w="69"/>
        <w:gridCol w:w="69"/>
        <w:gridCol w:w="1143"/>
        <w:gridCol w:w="29"/>
        <w:gridCol w:w="120"/>
        <w:gridCol w:w="269"/>
        <w:gridCol w:w="269"/>
        <w:gridCol w:w="1982"/>
        <w:gridCol w:w="341"/>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16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84"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Grant date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3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Number of</w:t>
              <w:br/>
              <w:t>securities</w:t>
              <w:br/>
              <w:t>underlying</w:t>
              <w:br/>
              <w:t>the award</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55"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Exercise</w:t>
              <w:br/>
              <w:t>price of</w:t>
              <w:br/>
              <w:t>the award</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1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Grant date</w:t>
              <w:br/>
              <w:t>fair value</w:t>
              <w:br/>
              <w:t>of the award</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861"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Percentage change in the</w:t>
              <w:br/>
              <w:t>closing market price of the</w:t>
              <w:br/>
              <w:t>securities underlying the</w:t>
              <w:br/>
              <w:t>award between the trading</w:t>
              <w:br/>
              <w:t>day ending immediately</w:t>
              <w:br/>
              <w:t>prior to the disclosure of</w:t>
              <w:br/>
              <w:t>material nonpublic</w:t>
              <w:br/>
              <w:t>information and the trading</w:t>
              <w:br/>
              <w:t>day beginning immediately</w:t>
              <w:br/>
              <w:t>following the disclosure of</w:t>
              <w:br/>
              <w:t>material nonpublic</w:t>
              <w:br/>
              <w:t>information</w:t>
            </w:r>
          </w:p>
        </w:tc>
      </w:tr>
      <w:tr>
        <w:trPr/>
        <w:tc>
          <w:tcPr>
            <w:tcW w:w="2165" w:type="dxa"/>
            <w:tcBorders/>
            <w:shd w:fill="EFECE8" w:val="clear"/>
            <w:vAlign w:val="center"/>
          </w:tcPr>
          <w:p>
            <w:pPr>
              <w:pStyle w:val="TableContents"/>
              <w:bidi w:val="0"/>
              <w:spacing w:before="0" w:after="283"/>
              <w:jc w:val="left"/>
              <w:rPr>
                <w:sz w:val="4"/>
                <w:szCs w:val="4"/>
              </w:rPr>
            </w:pPr>
            <w:r>
              <w:rPr>
                <w:sz w:val="4"/>
                <w:szCs w:val="4"/>
              </w:rPr>
            </w:r>
          </w:p>
        </w:tc>
        <w:tc>
          <w:tcPr>
            <w:tcW w:w="1204" w:type="dxa"/>
            <w:gridSpan w:val="5"/>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1175" w:type="dxa"/>
            <w:gridSpan w:val="5"/>
            <w:tcBorders/>
            <w:shd w:fill="EFECE8" w:val="clear"/>
            <w:vAlign w:val="center"/>
          </w:tcPr>
          <w:p>
            <w:pPr>
              <w:pStyle w:val="TableContents"/>
              <w:bidi w:val="0"/>
              <w:spacing w:before="0" w:after="283"/>
              <w:jc w:val="left"/>
              <w:rPr>
                <w:sz w:val="4"/>
                <w:szCs w:val="4"/>
              </w:rPr>
            </w:pPr>
            <w:r>
              <w:rPr>
                <w:sz w:val="4"/>
                <w:szCs w:val="4"/>
              </w:rPr>
            </w:r>
          </w:p>
        </w:tc>
        <w:tc>
          <w:tcPr>
            <w:tcW w:w="1430" w:type="dxa"/>
            <w:gridSpan w:val="5"/>
            <w:tcBorders/>
            <w:shd w:fill="EFECE8" w:val="clear"/>
            <w:vAlign w:val="center"/>
          </w:tcPr>
          <w:p>
            <w:pPr>
              <w:pStyle w:val="TableContents"/>
              <w:bidi w:val="0"/>
              <w:spacing w:before="0" w:after="283"/>
              <w:jc w:val="left"/>
              <w:rPr>
                <w:sz w:val="4"/>
                <w:szCs w:val="4"/>
              </w:rPr>
            </w:pPr>
            <w:r>
              <w:rPr>
                <w:sz w:val="4"/>
                <w:szCs w:val="4"/>
              </w:rPr>
            </w:r>
          </w:p>
        </w:tc>
        <w:tc>
          <w:tcPr>
            <w:tcW w:w="2981"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16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41" w:type="dxa"/>
            <w:tcBorders/>
            <w:shd w:fill="EFECE8" w:val="clear"/>
            <w:vAlign w:val="center"/>
          </w:tcPr>
          <w:p>
            <w:pPr>
              <w:pStyle w:val="TableContents"/>
              <w:bidi w:val="0"/>
              <w:spacing w:before="0" w:after="283"/>
              <w:jc w:val="right"/>
              <w:rPr/>
            </w:pPr>
            <w:r>
              <w:rPr/>
              <w:t>2/23/2024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933" w:type="dxa"/>
            <w:tcBorders/>
            <w:shd w:fill="EFECE8" w:val="clear"/>
            <w:vAlign w:val="center"/>
          </w:tcPr>
          <w:p>
            <w:pPr>
              <w:pStyle w:val="TableContents"/>
              <w:bidi w:val="0"/>
              <w:spacing w:before="0" w:after="283"/>
              <w:jc w:val="right"/>
              <w:rPr/>
            </w:pPr>
            <w:r>
              <w:rPr/>
              <w:t>56,645</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88" w:type="dxa"/>
            <w:tcBorders/>
            <w:shd w:fill="EFECE8" w:val="clear"/>
            <w:vAlign w:val="center"/>
          </w:tcPr>
          <w:p>
            <w:pPr>
              <w:pStyle w:val="TableContents"/>
              <w:bidi w:val="0"/>
              <w:spacing w:before="0" w:after="283"/>
              <w:jc w:val="left"/>
              <w:rPr/>
            </w:pPr>
            <w:r>
              <w:rPr/>
              <w:t>$</w:t>
            </w:r>
          </w:p>
        </w:tc>
        <w:tc>
          <w:tcPr>
            <w:tcW w:w="754" w:type="dxa"/>
            <w:tcBorders/>
            <w:shd w:fill="EFECE8" w:val="clear"/>
            <w:vAlign w:val="center"/>
          </w:tcPr>
          <w:p>
            <w:pPr>
              <w:pStyle w:val="TableContents"/>
              <w:bidi w:val="0"/>
              <w:spacing w:before="0" w:after="283"/>
              <w:jc w:val="right"/>
              <w:rPr/>
            </w:pPr>
            <w:r>
              <w:rPr/>
              <w:t>83.14</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9" w:type="dxa"/>
            <w:tcBorders/>
            <w:shd w:fill="EFECE8" w:val="clear"/>
            <w:vAlign w:val="center"/>
          </w:tcPr>
          <w:p>
            <w:pPr>
              <w:pStyle w:val="TableContents"/>
              <w:bidi w:val="0"/>
              <w:spacing w:before="0" w:after="283"/>
              <w:jc w:val="left"/>
              <w:rPr/>
            </w:pPr>
            <w:r>
              <w:rPr/>
              <w:t> </w:t>
            </w:r>
          </w:p>
        </w:tc>
        <w:tc>
          <w:tcPr>
            <w:tcW w:w="69" w:type="dxa"/>
            <w:tcBorders/>
            <w:shd w:fill="EFECE8" w:val="clear"/>
            <w:vAlign w:val="center"/>
          </w:tcPr>
          <w:p>
            <w:pPr>
              <w:pStyle w:val="TableContents"/>
              <w:bidi w:val="0"/>
              <w:spacing w:before="0" w:after="283"/>
              <w:jc w:val="left"/>
              <w:rPr/>
            </w:pPr>
            <w:r>
              <w:rPr/>
              <w:t> </w:t>
            </w:r>
          </w:p>
        </w:tc>
        <w:tc>
          <w:tcPr>
            <w:tcW w:w="1143" w:type="dxa"/>
            <w:tcBorders/>
            <w:shd w:fill="EFECE8" w:val="clear"/>
            <w:vAlign w:val="center"/>
          </w:tcPr>
          <w:p>
            <w:pPr>
              <w:pStyle w:val="TableContents"/>
              <w:bidi w:val="0"/>
              <w:spacing w:before="0" w:after="283"/>
              <w:jc w:val="right"/>
              <w:rPr/>
            </w:pPr>
            <w:r>
              <w:rPr/>
              <w:t>3,040,613</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269" w:type="dxa"/>
            <w:tcBorders/>
            <w:shd w:fill="EFECE8" w:val="clear"/>
            <w:vAlign w:val="center"/>
          </w:tcPr>
          <w:p>
            <w:pPr>
              <w:pStyle w:val="TableContents"/>
              <w:bidi w:val="0"/>
              <w:spacing w:before="0" w:after="283"/>
              <w:jc w:val="left"/>
              <w:rPr/>
            </w:pPr>
            <w:r>
              <w:rPr/>
              <w:t> </w:t>
            </w:r>
          </w:p>
        </w:tc>
        <w:tc>
          <w:tcPr>
            <w:tcW w:w="269" w:type="dxa"/>
            <w:tcBorders/>
            <w:shd w:fill="EFECE8" w:val="clear"/>
            <w:vAlign w:val="center"/>
          </w:tcPr>
          <w:p>
            <w:pPr>
              <w:pStyle w:val="TableContents"/>
              <w:bidi w:val="0"/>
              <w:spacing w:before="0" w:after="283"/>
              <w:jc w:val="left"/>
              <w:rPr/>
            </w:pPr>
            <w:r>
              <w:rPr/>
              <w:t> </w:t>
            </w:r>
          </w:p>
        </w:tc>
        <w:tc>
          <w:tcPr>
            <w:tcW w:w="1982" w:type="dxa"/>
            <w:tcBorders/>
            <w:shd w:fill="EFECE8" w:val="clear"/>
            <w:vAlign w:val="center"/>
          </w:tcPr>
          <w:p>
            <w:pPr>
              <w:pStyle w:val="TableContents"/>
              <w:bidi w:val="0"/>
              <w:spacing w:before="0" w:after="283"/>
              <w:jc w:val="center"/>
              <w:rPr/>
            </w:pPr>
            <w:r>
              <w:rPr/>
              <w:t>6.70%</w:t>
            </w:r>
          </w:p>
        </w:tc>
        <w:tc>
          <w:tcPr>
            <w:tcW w:w="341" w:type="dxa"/>
            <w:tcBorders/>
            <w:shd w:fill="EFECE8"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4"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430" w:type="dxa"/>
            <w:gridSpan w:val="5"/>
            <w:tcBorders/>
            <w:vAlign w:val="center"/>
          </w:tcPr>
          <w:p>
            <w:pPr>
              <w:pStyle w:val="TableContents"/>
              <w:bidi w:val="0"/>
              <w:spacing w:before="0" w:after="283"/>
              <w:jc w:val="left"/>
              <w:rPr>
                <w:sz w:val="4"/>
                <w:szCs w:val="4"/>
              </w:rPr>
            </w:pPr>
            <w:r>
              <w:rPr>
                <w:sz w:val="4"/>
                <w:szCs w:val="4"/>
              </w:rPr>
            </w:r>
          </w:p>
        </w:tc>
        <w:tc>
          <w:tcPr>
            <w:tcW w:w="2981" w:type="dxa"/>
            <w:gridSpan w:val="5"/>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2/23/2024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18,690</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754" w:type="dxa"/>
            <w:tcBorders/>
            <w:vAlign w:val="center"/>
          </w:tcPr>
          <w:p>
            <w:pPr>
              <w:pStyle w:val="TableContents"/>
              <w:bidi w:val="0"/>
              <w:spacing w:before="0" w:after="283"/>
              <w:jc w:val="right"/>
              <w:rPr/>
            </w:pPr>
            <w:r>
              <w:rPr/>
              <w:t>83.14</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1,003,249</w:t>
            </w:r>
          </w:p>
        </w:tc>
        <w:tc>
          <w:tcPr>
            <w:tcW w:w="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1982" w:type="dxa"/>
            <w:tcBorders/>
            <w:vAlign w:val="center"/>
          </w:tcPr>
          <w:p>
            <w:pPr>
              <w:pStyle w:val="TableContents"/>
              <w:bidi w:val="0"/>
              <w:spacing w:before="0" w:after="283"/>
              <w:jc w:val="center"/>
              <w:rPr/>
            </w:pPr>
            <w:r>
              <w:rPr/>
              <w:t>6.70%</w:t>
            </w:r>
          </w:p>
        </w:tc>
        <w:tc>
          <w:tcPr>
            <w:tcW w:w="341" w:type="dxa"/>
            <w:tcBorders/>
            <w:vAlign w:val="center"/>
          </w:tcPr>
          <w:p>
            <w:pPr>
              <w:pStyle w:val="TableContents"/>
              <w:bidi w:val="0"/>
              <w:spacing w:before="0" w:after="283"/>
              <w:jc w:val="left"/>
              <w:rPr/>
            </w:pPr>
            <w:r>
              <w:rPr/>
              <w:t> </w:t>
            </w:r>
          </w:p>
        </w:tc>
      </w:tr>
      <w:tr>
        <w:trPr/>
        <w:tc>
          <w:tcPr>
            <w:tcW w:w="2165" w:type="dxa"/>
            <w:tcBorders/>
            <w:shd w:fill="EFECE8" w:val="clear"/>
            <w:vAlign w:val="center"/>
          </w:tcPr>
          <w:p>
            <w:pPr>
              <w:pStyle w:val="TableContents"/>
              <w:bidi w:val="0"/>
              <w:spacing w:before="0" w:after="283"/>
              <w:jc w:val="left"/>
              <w:rPr>
                <w:sz w:val="4"/>
                <w:szCs w:val="4"/>
              </w:rPr>
            </w:pPr>
            <w:r>
              <w:rPr>
                <w:sz w:val="4"/>
                <w:szCs w:val="4"/>
              </w:rPr>
            </w:r>
          </w:p>
        </w:tc>
        <w:tc>
          <w:tcPr>
            <w:tcW w:w="1204" w:type="dxa"/>
            <w:gridSpan w:val="5"/>
            <w:tcBorders/>
            <w:shd w:fill="EFECE8" w:val="clear"/>
            <w:vAlign w:val="center"/>
          </w:tcPr>
          <w:p>
            <w:pPr>
              <w:pStyle w:val="TableContents"/>
              <w:bidi w:val="0"/>
              <w:spacing w:before="0" w:after="283"/>
              <w:jc w:val="left"/>
              <w:rPr>
                <w:sz w:val="4"/>
                <w:szCs w:val="4"/>
              </w:rPr>
            </w:pPr>
            <w:r>
              <w:rPr>
                <w:sz w:val="4"/>
                <w:szCs w:val="4"/>
              </w:rPr>
            </w:r>
          </w:p>
        </w:tc>
        <w:tc>
          <w:tcPr>
            <w:tcW w:w="1250" w:type="dxa"/>
            <w:gridSpan w:val="5"/>
            <w:tcBorders/>
            <w:shd w:fill="EFECE8" w:val="clear"/>
            <w:vAlign w:val="center"/>
          </w:tcPr>
          <w:p>
            <w:pPr>
              <w:pStyle w:val="TableContents"/>
              <w:bidi w:val="0"/>
              <w:spacing w:before="0" w:after="283"/>
              <w:jc w:val="left"/>
              <w:rPr>
                <w:sz w:val="4"/>
                <w:szCs w:val="4"/>
              </w:rPr>
            </w:pPr>
            <w:r>
              <w:rPr>
                <w:sz w:val="4"/>
                <w:szCs w:val="4"/>
              </w:rPr>
            </w:r>
          </w:p>
        </w:tc>
        <w:tc>
          <w:tcPr>
            <w:tcW w:w="1175" w:type="dxa"/>
            <w:gridSpan w:val="5"/>
            <w:tcBorders/>
            <w:shd w:fill="EFECE8" w:val="clear"/>
            <w:vAlign w:val="center"/>
          </w:tcPr>
          <w:p>
            <w:pPr>
              <w:pStyle w:val="TableContents"/>
              <w:bidi w:val="0"/>
              <w:spacing w:before="0" w:after="283"/>
              <w:jc w:val="left"/>
              <w:rPr>
                <w:sz w:val="4"/>
                <w:szCs w:val="4"/>
              </w:rPr>
            </w:pPr>
            <w:r>
              <w:rPr>
                <w:sz w:val="4"/>
                <w:szCs w:val="4"/>
              </w:rPr>
            </w:r>
          </w:p>
        </w:tc>
        <w:tc>
          <w:tcPr>
            <w:tcW w:w="1430" w:type="dxa"/>
            <w:gridSpan w:val="5"/>
            <w:tcBorders/>
            <w:shd w:fill="EFECE8" w:val="clear"/>
            <w:vAlign w:val="center"/>
          </w:tcPr>
          <w:p>
            <w:pPr>
              <w:pStyle w:val="TableContents"/>
              <w:bidi w:val="0"/>
              <w:spacing w:before="0" w:after="283"/>
              <w:jc w:val="left"/>
              <w:rPr>
                <w:sz w:val="4"/>
                <w:szCs w:val="4"/>
              </w:rPr>
            </w:pPr>
            <w:r>
              <w:rPr>
                <w:sz w:val="4"/>
                <w:szCs w:val="4"/>
              </w:rPr>
            </w:r>
          </w:p>
        </w:tc>
        <w:tc>
          <w:tcPr>
            <w:tcW w:w="2981"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165" w:type="dxa"/>
            <w:tcBorders/>
            <w:shd w:fill="EFECE8" w:val="clear"/>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41" w:type="dxa"/>
            <w:tcBorders/>
            <w:shd w:fill="EFECE8" w:val="clear"/>
            <w:vAlign w:val="center"/>
          </w:tcPr>
          <w:p>
            <w:pPr>
              <w:pStyle w:val="TableContents"/>
              <w:bidi w:val="0"/>
              <w:spacing w:before="0" w:after="283"/>
              <w:jc w:val="right"/>
              <w:rPr/>
            </w:pPr>
            <w:r>
              <w:rPr/>
              <w:t>2/23/2024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933" w:type="dxa"/>
            <w:tcBorders/>
            <w:shd w:fill="EFECE8" w:val="clear"/>
            <w:vAlign w:val="center"/>
          </w:tcPr>
          <w:p>
            <w:pPr>
              <w:pStyle w:val="TableContents"/>
              <w:bidi w:val="0"/>
              <w:spacing w:before="0" w:after="283"/>
              <w:jc w:val="right"/>
              <w:rPr/>
            </w:pPr>
            <w:r>
              <w:rPr/>
              <w:t>17,632</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88" w:type="dxa"/>
            <w:tcBorders/>
            <w:shd w:fill="EFECE8" w:val="clear"/>
            <w:vAlign w:val="center"/>
          </w:tcPr>
          <w:p>
            <w:pPr>
              <w:pStyle w:val="TableContents"/>
              <w:bidi w:val="0"/>
              <w:spacing w:before="0" w:after="283"/>
              <w:jc w:val="left"/>
              <w:rPr/>
            </w:pPr>
            <w:r>
              <w:rPr/>
              <w:t>$</w:t>
            </w:r>
          </w:p>
        </w:tc>
        <w:tc>
          <w:tcPr>
            <w:tcW w:w="754" w:type="dxa"/>
            <w:tcBorders/>
            <w:shd w:fill="EFECE8" w:val="clear"/>
            <w:vAlign w:val="center"/>
          </w:tcPr>
          <w:p>
            <w:pPr>
              <w:pStyle w:val="TableContents"/>
              <w:bidi w:val="0"/>
              <w:spacing w:before="0" w:after="283"/>
              <w:jc w:val="right"/>
              <w:rPr/>
            </w:pPr>
            <w:r>
              <w:rPr/>
              <w:t>83.14</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9" w:type="dxa"/>
            <w:tcBorders/>
            <w:shd w:fill="EFECE8" w:val="clear"/>
            <w:vAlign w:val="center"/>
          </w:tcPr>
          <w:p>
            <w:pPr>
              <w:pStyle w:val="TableContents"/>
              <w:bidi w:val="0"/>
              <w:spacing w:before="0" w:after="283"/>
              <w:jc w:val="left"/>
              <w:rPr/>
            </w:pPr>
            <w:r>
              <w:rPr/>
              <w:t> </w:t>
            </w:r>
          </w:p>
        </w:tc>
        <w:tc>
          <w:tcPr>
            <w:tcW w:w="69" w:type="dxa"/>
            <w:tcBorders/>
            <w:shd w:fill="EFECE8" w:val="clear"/>
            <w:vAlign w:val="center"/>
          </w:tcPr>
          <w:p>
            <w:pPr>
              <w:pStyle w:val="TableContents"/>
              <w:bidi w:val="0"/>
              <w:spacing w:before="0" w:after="283"/>
              <w:jc w:val="left"/>
              <w:rPr/>
            </w:pPr>
            <w:r>
              <w:rPr/>
              <w:t> </w:t>
            </w:r>
          </w:p>
        </w:tc>
        <w:tc>
          <w:tcPr>
            <w:tcW w:w="1143" w:type="dxa"/>
            <w:tcBorders/>
            <w:shd w:fill="EFECE8" w:val="clear"/>
            <w:vAlign w:val="center"/>
          </w:tcPr>
          <w:p>
            <w:pPr>
              <w:pStyle w:val="TableContents"/>
              <w:bidi w:val="0"/>
              <w:spacing w:before="0" w:after="283"/>
              <w:jc w:val="right"/>
              <w:rPr/>
            </w:pPr>
            <w:r>
              <w:rPr/>
              <w:t>946,458</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269" w:type="dxa"/>
            <w:tcBorders/>
            <w:shd w:fill="EFECE8" w:val="clear"/>
            <w:vAlign w:val="center"/>
          </w:tcPr>
          <w:p>
            <w:pPr>
              <w:pStyle w:val="TableContents"/>
              <w:bidi w:val="0"/>
              <w:spacing w:before="0" w:after="283"/>
              <w:jc w:val="left"/>
              <w:rPr/>
            </w:pPr>
            <w:r>
              <w:rPr/>
              <w:t> </w:t>
            </w:r>
          </w:p>
        </w:tc>
        <w:tc>
          <w:tcPr>
            <w:tcW w:w="269" w:type="dxa"/>
            <w:tcBorders/>
            <w:shd w:fill="EFECE8" w:val="clear"/>
            <w:vAlign w:val="center"/>
          </w:tcPr>
          <w:p>
            <w:pPr>
              <w:pStyle w:val="TableContents"/>
              <w:bidi w:val="0"/>
              <w:spacing w:before="0" w:after="283"/>
              <w:jc w:val="left"/>
              <w:rPr/>
            </w:pPr>
            <w:r>
              <w:rPr/>
              <w:t> </w:t>
            </w:r>
          </w:p>
        </w:tc>
        <w:tc>
          <w:tcPr>
            <w:tcW w:w="1982" w:type="dxa"/>
            <w:tcBorders/>
            <w:shd w:fill="EFECE8" w:val="clear"/>
            <w:vAlign w:val="center"/>
          </w:tcPr>
          <w:p>
            <w:pPr>
              <w:pStyle w:val="TableContents"/>
              <w:bidi w:val="0"/>
              <w:spacing w:before="0" w:after="283"/>
              <w:jc w:val="center"/>
              <w:rPr/>
            </w:pPr>
            <w:r>
              <w:rPr/>
              <w:t>6.70%</w:t>
            </w:r>
          </w:p>
        </w:tc>
        <w:tc>
          <w:tcPr>
            <w:tcW w:w="341" w:type="dxa"/>
            <w:tcBorders/>
            <w:shd w:fill="EFECE8"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sz w:val="4"/>
                <w:szCs w:val="4"/>
              </w:rPr>
            </w:pPr>
            <w:r>
              <w:rPr>
                <w:sz w:val="4"/>
                <w:szCs w:val="4"/>
              </w:rPr>
            </w:r>
          </w:p>
        </w:tc>
        <w:tc>
          <w:tcPr>
            <w:tcW w:w="1204" w:type="dxa"/>
            <w:gridSpan w:val="5"/>
            <w:tcBorders/>
            <w:vAlign w:val="center"/>
          </w:tcPr>
          <w:p>
            <w:pPr>
              <w:pStyle w:val="TableContents"/>
              <w:bidi w:val="0"/>
              <w:spacing w:before="0" w:after="283"/>
              <w:jc w:val="left"/>
              <w:rPr>
                <w:sz w:val="4"/>
                <w:szCs w:val="4"/>
              </w:rPr>
            </w:pPr>
            <w:r>
              <w:rPr>
                <w:sz w:val="4"/>
                <w:szCs w:val="4"/>
              </w:rPr>
            </w:r>
          </w:p>
        </w:tc>
        <w:tc>
          <w:tcPr>
            <w:tcW w:w="1250" w:type="dxa"/>
            <w:gridSpan w:val="5"/>
            <w:tcBorders/>
            <w:vAlign w:val="center"/>
          </w:tcPr>
          <w:p>
            <w:pPr>
              <w:pStyle w:val="TableContents"/>
              <w:bidi w:val="0"/>
              <w:spacing w:before="0" w:after="283"/>
              <w:jc w:val="left"/>
              <w:rPr>
                <w:sz w:val="4"/>
                <w:szCs w:val="4"/>
              </w:rPr>
            </w:pPr>
            <w:r>
              <w:rPr>
                <w:sz w:val="4"/>
                <w:szCs w:val="4"/>
              </w:rPr>
            </w:r>
          </w:p>
        </w:tc>
        <w:tc>
          <w:tcPr>
            <w:tcW w:w="1175" w:type="dxa"/>
            <w:gridSpan w:val="5"/>
            <w:tcBorders/>
            <w:vAlign w:val="center"/>
          </w:tcPr>
          <w:p>
            <w:pPr>
              <w:pStyle w:val="TableContents"/>
              <w:bidi w:val="0"/>
              <w:spacing w:before="0" w:after="283"/>
              <w:jc w:val="left"/>
              <w:rPr>
                <w:sz w:val="4"/>
                <w:szCs w:val="4"/>
              </w:rPr>
            </w:pPr>
            <w:r>
              <w:rPr>
                <w:sz w:val="4"/>
                <w:szCs w:val="4"/>
              </w:rPr>
            </w:r>
          </w:p>
        </w:tc>
        <w:tc>
          <w:tcPr>
            <w:tcW w:w="1430" w:type="dxa"/>
            <w:gridSpan w:val="5"/>
            <w:tcBorders/>
            <w:vAlign w:val="center"/>
          </w:tcPr>
          <w:p>
            <w:pPr>
              <w:pStyle w:val="TableContents"/>
              <w:bidi w:val="0"/>
              <w:spacing w:before="0" w:after="283"/>
              <w:jc w:val="left"/>
              <w:rPr>
                <w:sz w:val="4"/>
                <w:szCs w:val="4"/>
              </w:rPr>
            </w:pPr>
            <w:r>
              <w:rPr>
                <w:sz w:val="4"/>
                <w:szCs w:val="4"/>
              </w:rPr>
            </w:r>
          </w:p>
        </w:tc>
        <w:tc>
          <w:tcPr>
            <w:tcW w:w="2981" w:type="dxa"/>
            <w:gridSpan w:val="5"/>
            <w:tcBorders/>
            <w:vAlign w:val="center"/>
          </w:tcPr>
          <w:p>
            <w:pPr>
              <w:pStyle w:val="TableContents"/>
              <w:bidi w:val="0"/>
              <w:spacing w:before="0" w:after="283"/>
              <w:jc w:val="left"/>
              <w:rPr>
                <w:sz w:val="4"/>
                <w:szCs w:val="4"/>
              </w:rPr>
            </w:pPr>
            <w:r>
              <w:rPr>
                <w:sz w:val="4"/>
                <w:szCs w:val="4"/>
              </w:rPr>
            </w:r>
          </w:p>
        </w:tc>
      </w:tr>
      <w:tr>
        <w:trPr/>
        <w:tc>
          <w:tcPr>
            <w:tcW w:w="216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41" w:type="dxa"/>
            <w:tcBorders>
              <w:bottom w:val="single" w:sz="8" w:space="0" w:color="A41F35"/>
            </w:tcBorders>
            <w:tcMar>
              <w:bottom w:w="40" w:type="dxa"/>
            </w:tcMar>
            <w:vAlign w:val="center"/>
          </w:tcPr>
          <w:p>
            <w:pPr>
              <w:pStyle w:val="TableContents"/>
              <w:bidi w:val="0"/>
              <w:spacing w:before="0" w:after="283"/>
              <w:jc w:val="right"/>
              <w:rPr/>
            </w:pPr>
            <w:r>
              <w:rPr/>
              <w:t>2/23/2024</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2" w:type="dxa"/>
            <w:tcBorders>
              <w:bottom w:val="single" w:sz="8" w:space="0" w:color="A41F35"/>
            </w:tcBorders>
            <w:tcMar>
              <w:bottom w:w="28" w:type="dxa"/>
            </w:tcMar>
            <w:vAlign w:val="center"/>
          </w:tcPr>
          <w:p>
            <w:pPr>
              <w:pStyle w:val="TableContents"/>
              <w:bidi w:val="0"/>
              <w:spacing w:before="0" w:after="283"/>
              <w:jc w:val="left"/>
              <w:rPr/>
            </w:pPr>
            <w:r>
              <w:rPr/>
              <w:t> </w:t>
            </w:r>
          </w:p>
        </w:tc>
        <w:tc>
          <w:tcPr>
            <w:tcW w:w="82" w:type="dxa"/>
            <w:tcBorders>
              <w:bottom w:val="single" w:sz="8" w:space="0" w:color="A41F35"/>
            </w:tcBorders>
            <w:tcMar>
              <w:bottom w:w="40" w:type="dxa"/>
            </w:tcMar>
            <w:vAlign w:val="center"/>
          </w:tcPr>
          <w:p>
            <w:pPr>
              <w:pStyle w:val="TableContents"/>
              <w:bidi w:val="0"/>
              <w:spacing w:before="0" w:after="283"/>
              <w:jc w:val="left"/>
              <w:rPr/>
            </w:pPr>
            <w:r>
              <w:rPr/>
              <w:t> </w:t>
            </w:r>
          </w:p>
        </w:tc>
        <w:tc>
          <w:tcPr>
            <w:tcW w:w="933" w:type="dxa"/>
            <w:tcBorders>
              <w:bottom w:val="single" w:sz="8" w:space="0" w:color="A41F35"/>
            </w:tcBorders>
            <w:tcMar>
              <w:bottom w:w="40" w:type="dxa"/>
            </w:tcMar>
            <w:vAlign w:val="center"/>
          </w:tcPr>
          <w:p>
            <w:pPr>
              <w:pStyle w:val="TableContents"/>
              <w:bidi w:val="0"/>
              <w:spacing w:before="0" w:after="283"/>
              <w:jc w:val="right"/>
              <w:rPr/>
            </w:pPr>
            <w:r>
              <w:rPr/>
              <w:t>18,690</w:t>
            </w:r>
          </w:p>
        </w:tc>
        <w:tc>
          <w:tcPr>
            <w:tcW w:w="3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0" w:type="dxa"/>
            <w:tcBorders>
              <w:bottom w:val="single" w:sz="8" w:space="0" w:color="A41F35"/>
            </w:tcBorders>
            <w:tcMar>
              <w:bottom w:w="28" w:type="dxa"/>
            </w:tcMar>
            <w:vAlign w:val="center"/>
          </w:tcPr>
          <w:p>
            <w:pPr>
              <w:pStyle w:val="TableContents"/>
              <w:bidi w:val="0"/>
              <w:spacing w:before="0" w:after="283"/>
              <w:jc w:val="left"/>
              <w:rPr/>
            </w:pPr>
            <w:r>
              <w:rPr/>
              <w:t> </w:t>
            </w:r>
          </w:p>
        </w:tc>
        <w:tc>
          <w:tcPr>
            <w:tcW w:w="188" w:type="dxa"/>
            <w:tcBorders>
              <w:bottom w:val="single" w:sz="8" w:space="0" w:color="A41F35"/>
            </w:tcBorders>
            <w:tcMar>
              <w:bottom w:w="40" w:type="dxa"/>
            </w:tcMar>
            <w:vAlign w:val="center"/>
          </w:tcPr>
          <w:p>
            <w:pPr>
              <w:pStyle w:val="TableContents"/>
              <w:bidi w:val="0"/>
              <w:spacing w:before="0" w:after="283"/>
              <w:jc w:val="left"/>
              <w:rPr/>
            </w:pPr>
            <w:r>
              <w:rPr/>
              <w:t>$</w:t>
            </w:r>
          </w:p>
        </w:tc>
        <w:tc>
          <w:tcPr>
            <w:tcW w:w="754" w:type="dxa"/>
            <w:tcBorders>
              <w:bottom w:val="single" w:sz="8" w:space="0" w:color="A41F35"/>
            </w:tcBorders>
            <w:tcMar>
              <w:bottom w:w="40" w:type="dxa"/>
            </w:tcMar>
            <w:vAlign w:val="center"/>
          </w:tcPr>
          <w:p>
            <w:pPr>
              <w:pStyle w:val="TableContents"/>
              <w:bidi w:val="0"/>
              <w:spacing w:before="0" w:after="283"/>
              <w:jc w:val="right"/>
              <w:rPr/>
            </w:pPr>
            <w:r>
              <w:rPr/>
              <w:t>83.14</w:t>
            </w:r>
          </w:p>
        </w:tc>
        <w:tc>
          <w:tcPr>
            <w:tcW w:w="3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9" w:type="dxa"/>
            <w:tcBorders>
              <w:bottom w:val="single" w:sz="8" w:space="0" w:color="A41F35"/>
            </w:tcBorders>
            <w:tcMar>
              <w:bottom w:w="28" w:type="dxa"/>
            </w:tcMar>
            <w:vAlign w:val="center"/>
          </w:tcPr>
          <w:p>
            <w:pPr>
              <w:pStyle w:val="TableContents"/>
              <w:bidi w:val="0"/>
              <w:spacing w:before="0" w:after="283"/>
              <w:jc w:val="left"/>
              <w:rPr/>
            </w:pPr>
            <w:r>
              <w:rPr/>
              <w:t> </w:t>
            </w:r>
          </w:p>
        </w:tc>
        <w:tc>
          <w:tcPr>
            <w:tcW w:w="69" w:type="dxa"/>
            <w:tcBorders>
              <w:bottom w:val="single" w:sz="8" w:space="0" w:color="A41F35"/>
            </w:tcBorders>
            <w:tcMar>
              <w:bottom w:w="40" w:type="dxa"/>
            </w:tcMar>
            <w:vAlign w:val="center"/>
          </w:tcPr>
          <w:p>
            <w:pPr>
              <w:pStyle w:val="TableContents"/>
              <w:bidi w:val="0"/>
              <w:spacing w:before="0" w:after="283"/>
              <w:jc w:val="left"/>
              <w:rPr/>
            </w:pPr>
            <w:r>
              <w:rPr/>
              <w:t> </w:t>
            </w:r>
          </w:p>
        </w:tc>
        <w:tc>
          <w:tcPr>
            <w:tcW w:w="1143" w:type="dxa"/>
            <w:tcBorders>
              <w:bottom w:val="single" w:sz="8" w:space="0" w:color="A41F35"/>
            </w:tcBorders>
            <w:tcMar>
              <w:bottom w:w="40" w:type="dxa"/>
            </w:tcMar>
            <w:vAlign w:val="center"/>
          </w:tcPr>
          <w:p>
            <w:pPr>
              <w:pStyle w:val="TableContents"/>
              <w:bidi w:val="0"/>
              <w:spacing w:before="0" w:after="283"/>
              <w:jc w:val="right"/>
              <w:rPr/>
            </w:pPr>
            <w:r>
              <w:rPr/>
              <w:t>1,003,249</w:t>
            </w:r>
          </w:p>
        </w:tc>
        <w:tc>
          <w:tcPr>
            <w:tcW w:w="29"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269" w:type="dxa"/>
            <w:tcBorders>
              <w:bottom w:val="single" w:sz="8" w:space="0" w:color="A41F35"/>
            </w:tcBorders>
            <w:tcMar>
              <w:bottom w:w="28" w:type="dxa"/>
            </w:tcMar>
            <w:vAlign w:val="center"/>
          </w:tcPr>
          <w:p>
            <w:pPr>
              <w:pStyle w:val="TableContents"/>
              <w:bidi w:val="0"/>
              <w:spacing w:before="0" w:after="283"/>
              <w:jc w:val="left"/>
              <w:rPr/>
            </w:pPr>
            <w:r>
              <w:rPr/>
              <w:t> </w:t>
            </w:r>
          </w:p>
        </w:tc>
        <w:tc>
          <w:tcPr>
            <w:tcW w:w="269" w:type="dxa"/>
            <w:tcBorders>
              <w:bottom w:val="single" w:sz="8" w:space="0" w:color="A41F35"/>
            </w:tcBorders>
            <w:tcMar>
              <w:bottom w:w="40" w:type="dxa"/>
            </w:tcMar>
            <w:vAlign w:val="center"/>
          </w:tcPr>
          <w:p>
            <w:pPr>
              <w:pStyle w:val="TableContents"/>
              <w:bidi w:val="0"/>
              <w:spacing w:before="0" w:after="283"/>
              <w:jc w:val="left"/>
              <w:rPr/>
            </w:pPr>
            <w:r>
              <w:rPr/>
              <w:t> </w:t>
            </w:r>
          </w:p>
        </w:tc>
        <w:tc>
          <w:tcPr>
            <w:tcW w:w="1982" w:type="dxa"/>
            <w:tcBorders>
              <w:bottom w:val="single" w:sz="8" w:space="0" w:color="A41F35"/>
            </w:tcBorders>
            <w:tcMar>
              <w:bottom w:w="40" w:type="dxa"/>
            </w:tcMar>
            <w:vAlign w:val="center"/>
          </w:tcPr>
          <w:p>
            <w:pPr>
              <w:pStyle w:val="TableContents"/>
              <w:bidi w:val="0"/>
              <w:spacing w:before="0" w:after="283"/>
              <w:jc w:val="center"/>
              <w:rPr/>
            </w:pPr>
            <w:r>
              <w:rPr/>
              <w:t>6.70%</w:t>
            </w:r>
          </w:p>
        </w:tc>
        <w:tc>
          <w:tcPr>
            <w:tcW w:w="341" w:type="dxa"/>
            <w:tcBorders>
              <w:bottom w:val="single" w:sz="8" w:space="0" w:color="A41F35"/>
            </w:tcBorders>
            <w:tcMar>
              <w:bottom w:w="4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b/>
          <w:color w:val="A41F35"/>
          <w:spacing w:val="0"/>
          <w:sz w:val="28"/>
        </w:rPr>
      </w:pPr>
      <w:r>
        <w:rPr>
          <w:rFonts w:ascii="arial" w:hAnsi="arial"/>
          <w:b/>
          <w:color w:val="A41F35"/>
          <w:spacing w:val="0"/>
          <w:sz w:val="28"/>
        </w:rPr>
        <w:t xml:space="preserve">Compensation Risk Assessment </w:t>
      </w:r>
    </w:p>
    <w:p>
      <w:pPr>
        <w:pStyle w:val="TextBody"/>
        <w:bidi w:val="0"/>
        <w:spacing w:before="120" w:after="0"/>
        <w:jc w:val="left"/>
        <w:rPr>
          <w:rFonts w:ascii="arial" w:hAnsi="arial"/>
          <w:sz w:val="18"/>
        </w:rPr>
      </w:pPr>
      <w:r>
        <w:rPr>
          <w:rFonts w:ascii="arial" w:hAnsi="arial"/>
          <w:sz w:val="18"/>
        </w:rPr>
        <w:t xml:space="preserve">Our Compensation Committee regularly reviews our compensation policies and practices, including the risks created by our compensation plans, and has concluded that any risks arising from our compensation policies and practices are not reasonably likely to have a material adverse effect on the Company. </w:t>
      </w:r>
    </w:p>
    <w:p>
      <w:pPr>
        <w:pStyle w:val="TextBody"/>
        <w:bidi w:val="0"/>
        <w:spacing w:before="360" w:after="0"/>
        <w:jc w:val="left"/>
        <w:rPr>
          <w:rFonts w:ascii="arial" w:hAnsi="arial"/>
          <w:b/>
          <w:color w:val="A41F35"/>
          <w:spacing w:val="0"/>
          <w:sz w:val="28"/>
        </w:rPr>
      </w:pPr>
      <w:r>
        <w:rPr>
          <w:rFonts w:ascii="arial" w:hAnsi="arial"/>
          <w:b/>
          <w:color w:val="A41F35"/>
          <w:spacing w:val="0"/>
          <w:sz w:val="28"/>
        </w:rPr>
        <w:t xml:space="preserve">Tax and Accounting Considerations </w:t>
      </w:r>
    </w:p>
    <w:p>
      <w:pPr>
        <w:pStyle w:val="TextBody"/>
        <w:bidi w:val="0"/>
        <w:spacing w:before="120" w:after="0"/>
        <w:jc w:val="left"/>
        <w:rPr>
          <w:rFonts w:ascii="arial" w:hAnsi="arial"/>
          <w:sz w:val="18"/>
        </w:rPr>
      </w:pPr>
      <w:r>
        <w:rPr>
          <w:rFonts w:ascii="arial" w:hAnsi="arial"/>
          <w:sz w:val="18"/>
        </w:rPr>
        <w:t xml:space="preserve">Our Compensation Committee considers the tax and accounting consequences of compensation paid under our executive compensation program. However, our Compensation Committee believes that its primary responsibility is to maintain an executive compensation program that attracts, retains and rewards our executives. Accordingly, our Compensation Committee has paid, and may continue to pay, in its discretion, compensation that is not fully deductible or is limited as to tax deductibility. </w:t>
      </w:r>
    </w:p>
    <w:p>
      <w:pPr>
        <w:pStyle w:val="TextBody"/>
        <w:bidi w:val="0"/>
        <w:spacing w:before="360" w:after="0"/>
        <w:jc w:val="left"/>
        <w:rPr>
          <w:rFonts w:ascii="arial" w:hAnsi="arial"/>
          <w:b/>
          <w:color w:val="A41F35"/>
          <w:spacing w:val="0"/>
          <w:sz w:val="28"/>
        </w:rPr>
      </w:pPr>
      <w:r>
        <w:rPr>
          <w:rFonts w:ascii="arial" w:hAnsi="arial"/>
          <w:b/>
          <w:color w:val="A41F35"/>
          <w:spacing w:val="0"/>
          <w:sz w:val="28"/>
        </w:rPr>
        <w:t xml:space="preserve">Insider Trading Policies and Procedures </w:t>
      </w:r>
    </w:p>
    <w:p>
      <w:pPr>
        <w:pStyle w:val="TextBody"/>
        <w:bidi w:val="0"/>
        <w:spacing w:before="120" w:after="0"/>
        <w:jc w:val="left"/>
        <w:rPr>
          <w:rFonts w:ascii="arial" w:hAnsi="arial"/>
          <w:sz w:val="18"/>
        </w:rPr>
      </w:pPr>
      <w:r>
        <w:rPr>
          <w:rFonts w:ascii="arial" w:hAnsi="arial"/>
          <w:sz w:val="18"/>
        </w:rPr>
        <w:t xml:space="preserve">We maintain an insider trading policy governing the purchase, sale and other dispositions of our securities by our executive officers, directors, employees and consultants, including their respective immediate family members, and the Company. We believe our insider trading policy is reasonably designed to promote compliance with insider trading laws, rules and regulations, as well as the Nasdaq listing standards applicable to us. A copy of the insider trading policy was included as an exhibit to our Form </w:t>
      </w:r>
    </w:p>
    <w:p>
      <w:pPr>
        <w:pStyle w:val="TextBody"/>
        <w:bidi w:val="0"/>
        <w:spacing w:before="120" w:after="0"/>
        <w:jc w:val="left"/>
        <w:rPr>
          <w:rFonts w:ascii="arial" w:hAnsi="arial"/>
          <w:spacing w:val="0"/>
          <w:sz w:val="18"/>
        </w:rPr>
      </w:pPr>
      <w:r>
        <w:rPr>
          <w:rFonts w:ascii="arial" w:hAnsi="arial"/>
          <w:spacing w:val="0"/>
          <w:sz w:val="18"/>
        </w:rPr>
        <w:t>10-K</w:t>
      </w:r>
    </w:p>
    <w:p>
      <w:pPr>
        <w:pStyle w:val="TextBody"/>
        <w:bidi w:val="0"/>
        <w:spacing w:before="120" w:after="0"/>
        <w:jc w:val="left"/>
        <w:rPr>
          <w:rFonts w:ascii="arial" w:hAnsi="arial"/>
          <w:sz w:val="18"/>
        </w:rPr>
      </w:pPr>
      <w:r>
        <w:rPr>
          <w:rFonts w:ascii="arial" w:hAnsi="arial"/>
          <w:sz w:val="18"/>
        </w:rPr>
        <w:t xml:space="preserve">for the fiscal year ended December 31, 2024.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38"/>
        <w:gridCol w:w="60"/>
        <w:gridCol w:w="260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right"/>
              <w:rPr/>
            </w:pPr>
            <w:r>
              <w:rPr/>
              <w:t>  </w:t>
            </w:r>
          </w:p>
          <w:p>
            <w:pPr>
              <w:pStyle w:val="TableContents"/>
              <w:bidi w:val="0"/>
              <w:spacing w:before="0" w:after="0"/>
              <w:jc w:val="right"/>
              <w:rPr>
                <w:b/>
                <w:color w:val="A41F35"/>
                <w:spacing w:val="0"/>
              </w:rPr>
            </w:pPr>
            <w:r>
              <w:rPr>
                <w:b/>
                <w:color w:val="A41F35"/>
                <w:spacing w:val="0"/>
              </w:rPr>
              <w:t>TransMedics Group, Inc.</w:t>
            </w:r>
          </w:p>
          <w:p>
            <w:pPr>
              <w:pStyle w:val="TableContents"/>
              <w:bidi w:val="0"/>
              <w:spacing w:before="0" w:after="0"/>
              <w:jc w:val="right"/>
              <w:rPr/>
            </w:pPr>
            <w:r>
              <w:rPr/>
              <w:t>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b/>
                <w:spacing w:val="0"/>
              </w:rPr>
            </w:pPr>
            <w:r>
              <w:rPr>
                <w:b/>
                <w:spacing w:val="0"/>
              </w:rPr>
              <w:t>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bookmarkStart w:id="24" w:name="toc803709_21"/>
      <w:bookmarkEnd w:id="24"/>
      <w:r>
        <w:rPr>
          <w:rFonts w:ascii="arial" w:hAnsi="arial"/>
          <w:b/>
          <w:color w:val="A41F35"/>
          <w:sz w:val="28"/>
        </w:rPr>
        <w:t xml:space="preserve">Compensation Committee Report </w:t>
      </w:r>
    </w:p>
    <w:p>
      <w:pPr>
        <w:pStyle w:val="TextBody"/>
        <w:bidi w:val="0"/>
        <w:spacing w:before="120" w:after="0"/>
        <w:jc w:val="left"/>
        <w:rPr>
          <w:rFonts w:ascii="arial" w:hAnsi="arial"/>
          <w:sz w:val="18"/>
        </w:rPr>
      </w:pPr>
      <w:r>
        <w:rPr>
          <w:rFonts w:ascii="arial" w:hAnsi="arial"/>
          <w:sz w:val="18"/>
        </w:rPr>
        <w:t xml:space="preserve">Our Compensation Committee has reviewed and discussed the “Compensation Discussion and Analysis” disclosure with management. Based on this review and discussion, our Compensation Committee recommended to our Board that the “Compensation Discussion and Analysis” be included in the Proxy Statement distributed in connection with the Annual Meeting. </w:t>
      </w:r>
    </w:p>
    <w:p>
      <w:pPr>
        <w:pStyle w:val="TextBody"/>
        <w:bidi w:val="0"/>
        <w:spacing w:before="240" w:after="0"/>
        <w:jc w:val="center"/>
        <w:rPr>
          <w:rFonts w:ascii="arial" w:hAnsi="arial"/>
          <w:b/>
          <w:i/>
          <w:sz w:val="20"/>
        </w:rPr>
      </w:pPr>
      <w:r>
        <w:rPr>
          <w:rFonts w:ascii="arial" w:hAnsi="arial"/>
          <w:b/>
          <w:i/>
          <w:sz w:val="20"/>
        </w:rPr>
        <w:t xml:space="preserve">The Compensation Committee: </w:t>
      </w:r>
    </w:p>
    <w:p>
      <w:pPr>
        <w:pStyle w:val="TextBody"/>
        <w:bidi w:val="0"/>
        <w:spacing w:before="0" w:after="0"/>
        <w:jc w:val="center"/>
        <w:rPr>
          <w:rFonts w:ascii="arial" w:hAnsi="arial"/>
          <w:sz w:val="18"/>
        </w:rPr>
      </w:pPr>
      <w:r>
        <w:rPr>
          <w:rFonts w:ascii="arial" w:hAnsi="arial"/>
          <w:sz w:val="18"/>
        </w:rPr>
        <w:t xml:space="preserve">Thomas J. Gunderson (Chairperson) </w:t>
      </w:r>
    </w:p>
    <w:p>
      <w:pPr>
        <w:pStyle w:val="TextBody"/>
        <w:bidi w:val="0"/>
        <w:spacing w:before="0" w:after="0"/>
        <w:jc w:val="center"/>
        <w:rPr>
          <w:rFonts w:ascii="arial" w:hAnsi="arial"/>
          <w:sz w:val="18"/>
        </w:rPr>
      </w:pPr>
      <w:r>
        <w:rPr>
          <w:rFonts w:ascii="arial" w:hAnsi="arial"/>
          <w:sz w:val="18"/>
        </w:rPr>
        <w:t xml:space="preserve">Stephanie Lovell </w:t>
      </w:r>
    </w:p>
    <w:p>
      <w:pPr>
        <w:pStyle w:val="TextBody"/>
        <w:bidi w:val="0"/>
        <w:spacing w:before="0" w:after="0"/>
        <w:jc w:val="center"/>
        <w:rPr>
          <w:rFonts w:ascii="arial" w:hAnsi="arial"/>
          <w:sz w:val="18"/>
        </w:rPr>
      </w:pPr>
      <w:r>
        <w:rPr>
          <w:rFonts w:ascii="arial" w:hAnsi="arial"/>
          <w:sz w:val="18"/>
        </w:rPr>
        <w:t xml:space="preserve">Merilee Raines </w:t>
      </w:r>
    </w:p>
    <w:p>
      <w:pPr>
        <w:pStyle w:val="TextBody"/>
        <w:bidi w:val="0"/>
        <w:spacing w:before="0" w:after="0"/>
        <w:jc w:val="center"/>
        <w:rPr>
          <w:rFonts w:ascii="arial" w:hAnsi="arial"/>
          <w:sz w:val="18"/>
        </w:rPr>
      </w:pPr>
      <w:r>
        <w:rPr>
          <w:rFonts w:ascii="arial" w:hAnsi="arial"/>
          <w:sz w:val="18"/>
        </w:rPr>
        <w:t xml:space="preserve">David Weill, M.D. </w:t>
      </w:r>
    </w:p>
    <w:p>
      <w:pPr>
        <w:pStyle w:val="TextBody"/>
        <w:bidi w:val="0"/>
        <w:spacing w:before="240" w:after="0"/>
        <w:jc w:val="left"/>
        <w:rPr>
          <w:rFonts w:ascii="arial" w:hAnsi="arial"/>
          <w:i/>
          <w:sz w:val="18"/>
        </w:rPr>
      </w:pPr>
      <w:r>
        <w:rPr>
          <w:rFonts w:ascii="arial" w:hAnsi="arial"/>
          <w:i/>
          <w:sz w:val="18"/>
        </w:rPr>
        <w:t xml:space="preserve">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 </w:t>
      </w:r>
    </w:p>
    <w:p>
      <w:pPr>
        <w:pStyle w:val="TextBody"/>
        <w:bidi w:val="0"/>
        <w:spacing w:before="360" w:after="0"/>
        <w:jc w:val="left"/>
        <w:rPr>
          <w:rFonts w:ascii="arial" w:hAnsi="arial"/>
          <w:b/>
          <w:color w:val="A41F35"/>
          <w:sz w:val="28"/>
        </w:rPr>
      </w:pPr>
      <w:r>
        <w:rPr>
          <w:rFonts w:ascii="arial" w:hAnsi="arial"/>
          <w:b/>
          <w:color w:val="A41F35"/>
          <w:sz w:val="28"/>
        </w:rPr>
        <w:t xml:space="preserve">Summary Compensation Table </w:t>
      </w:r>
    </w:p>
    <w:p>
      <w:pPr>
        <w:pStyle w:val="TextBody"/>
        <w:bidi w:val="0"/>
        <w:spacing w:before="120" w:after="0"/>
        <w:jc w:val="left"/>
        <w:rPr>
          <w:rFonts w:ascii="arial" w:hAnsi="arial"/>
          <w:sz w:val="18"/>
        </w:rPr>
      </w:pPr>
      <w:r>
        <w:rPr>
          <w:rFonts w:ascii="arial" w:hAnsi="arial"/>
          <w:sz w:val="18"/>
        </w:rPr>
        <w:t xml:space="preserve">The following table sets forth the compensation awarded to, earned by, or paid to our named executive officers during our fiscal years ended December 31, 2024, and, if applicable, December 31, 2023 and December 31, 2022. </w:t>
      </w:r>
    </w:p>
    <w:p>
      <w:pPr>
        <w:pStyle w:val="TextBody"/>
        <w:bidi w:val="0"/>
        <w:spacing w:before="0" w:after="0"/>
        <w:jc w:val="left"/>
        <w:rPr/>
      </w:pPr>
      <w:r>
        <w:rPr/>
        <w:t> </w:t>
      </w:r>
    </w:p>
    <w:tbl>
      <w:tblPr>
        <w:tblW w:w="12168" w:type="dxa"/>
        <w:jc w:val="left"/>
        <w:tblInd w:w="0" w:type="dxa"/>
        <w:tblLayout w:type="fixed"/>
        <w:tblCellMar>
          <w:top w:w="0" w:type="dxa"/>
          <w:left w:w="0" w:type="dxa"/>
          <w:bottom w:w="0" w:type="dxa"/>
          <w:right w:w="0" w:type="dxa"/>
        </w:tblCellMar>
      </w:tblPr>
      <w:tblGrid>
        <w:gridCol w:w="2495"/>
        <w:gridCol w:w="120"/>
        <w:gridCol w:w="60"/>
        <w:gridCol w:w="60"/>
        <w:gridCol w:w="500"/>
        <w:gridCol w:w="23"/>
        <w:gridCol w:w="120"/>
        <w:gridCol w:w="60"/>
        <w:gridCol w:w="60"/>
        <w:gridCol w:w="800"/>
        <w:gridCol w:w="23"/>
        <w:gridCol w:w="120"/>
        <w:gridCol w:w="60"/>
        <w:gridCol w:w="60"/>
        <w:gridCol w:w="800"/>
        <w:gridCol w:w="23"/>
        <w:gridCol w:w="120"/>
        <w:gridCol w:w="60"/>
        <w:gridCol w:w="60"/>
        <w:gridCol w:w="980"/>
        <w:gridCol w:w="23"/>
        <w:gridCol w:w="120"/>
        <w:gridCol w:w="60"/>
        <w:gridCol w:w="60"/>
        <w:gridCol w:w="980"/>
        <w:gridCol w:w="23"/>
        <w:gridCol w:w="60"/>
        <w:gridCol w:w="79"/>
        <w:gridCol w:w="79"/>
        <w:gridCol w:w="1300"/>
        <w:gridCol w:w="32"/>
        <w:gridCol w:w="60"/>
        <w:gridCol w:w="79"/>
        <w:gridCol w:w="79"/>
        <w:gridCol w:w="1300"/>
        <w:gridCol w:w="32"/>
        <w:gridCol w:w="60"/>
        <w:gridCol w:w="60"/>
        <w:gridCol w:w="60"/>
        <w:gridCol w:w="980"/>
        <w:gridCol w:w="38"/>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 and Principal Position</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Year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Salary</w:t>
              <w:br/>
              <w:t>($)(1)</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Bonus</w:t>
              <w:br/>
              <w: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Stock</w:t>
              <w:br/>
              <w:t>Awards</w:t>
              <w:br/>
              <w:t>($)(2)</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Option</w:t>
              <w:br/>
              <w:t>Awards</w:t>
              <w:br/>
              <w:t>($)(3)</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Non-Equity</w:t>
              <w:br/>
              <w:t>Incentive Plan</w:t>
              <w:br/>
              <w:t>Compensation</w:t>
              <w:br/>
              <w:t>($)(4)</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All Other</w:t>
              <w:br/>
              <w:t>Compensation</w:t>
              <w:br/>
              <w:t>($)(5)</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38" w:type="dxa"/>
            <w:gridSpan w:val="4"/>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r>
      <w:tr>
        <w:trPr/>
        <w:tc>
          <w:tcPr>
            <w:tcW w:w="2495" w:type="dxa"/>
            <w:tcBorders/>
            <w:shd w:fill="EFECE8" w:val="clear"/>
            <w:vAlign w:val="center"/>
          </w:tcPr>
          <w:p>
            <w:pPr>
              <w:pStyle w:val="TableContents"/>
              <w:bidi w:val="0"/>
              <w:spacing w:before="0" w:after="283"/>
              <w:jc w:val="left"/>
              <w:rPr>
                <w:sz w:val="4"/>
                <w:szCs w:val="4"/>
              </w:rPr>
            </w:pPr>
            <w:r>
              <w:rPr>
                <w:sz w:val="4"/>
                <w:szCs w:val="4"/>
              </w:rPr>
            </w:r>
          </w:p>
        </w:tc>
        <w:tc>
          <w:tcPr>
            <w:tcW w:w="7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19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restart"/>
            <w:tcBorders/>
            <w:shd w:fill="EFECE8" w:val="clear"/>
            <w:vAlign w:val="center"/>
          </w:tcPr>
          <w:p>
            <w:pPr>
              <w:pStyle w:val="TableContents"/>
              <w:bidi w:val="0"/>
              <w:spacing w:before="0" w:after="0"/>
              <w:jc w:val="left"/>
              <w:rPr>
                <w:rFonts w:ascii="arial" w:hAnsi="arial"/>
                <w:b/>
                <w:sz w:val="16"/>
              </w:rPr>
            </w:pPr>
            <w:r>
              <w:rPr>
                <w:rFonts w:ascii="arial" w:hAnsi="arial"/>
                <w:b/>
                <w:sz w:val="16"/>
              </w:rPr>
              <w:t>Waleed H. Hassanein, M.D.</w:t>
            </w:r>
          </w:p>
          <w:p>
            <w:pPr>
              <w:pStyle w:val="TableContents"/>
              <w:bidi w:val="0"/>
              <w:spacing w:before="0" w:after="20"/>
              <w:jc w:val="left"/>
              <w:rPr>
                <w:rFonts w:ascii="arial" w:hAnsi="arial"/>
                <w:sz w:val="16"/>
              </w:rPr>
            </w:pPr>
            <w:r>
              <w:rPr>
                <w:rFonts w:ascii="arial" w:hAnsi="arial"/>
                <w:sz w:val="16"/>
              </w:rPr>
              <w:t>President and</w:t>
              <w:br/>
              <w:t>Chief Executive Officer</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688,462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3,055,811</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3,040,613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1,400,000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14,250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8,199,136</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633,846</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2,467,645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2,472,929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1,170,000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13,650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6,758,070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575,192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1,825,900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886,770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3,287,862</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rFonts w:ascii="arial" w:hAnsi="arial"/>
                <w:b/>
                <w:sz w:val="16"/>
              </w:rPr>
            </w:pPr>
            <w:r>
              <w:rPr>
                <w:rFonts w:ascii="arial" w:hAnsi="arial"/>
                <w:b/>
                <w:sz w:val="16"/>
              </w:rPr>
              <w:t>Gerardo Hernandez(6)</w:t>
            </w:r>
          </w:p>
          <w:p>
            <w:pPr>
              <w:pStyle w:val="TableContents"/>
              <w:bidi w:val="0"/>
              <w:spacing w:before="0" w:after="20"/>
              <w:jc w:val="left"/>
              <w:rPr>
                <w:rFonts w:ascii="arial" w:hAnsi="arial"/>
                <w:sz w:val="16"/>
              </w:rPr>
            </w:pPr>
            <w:r>
              <w:rPr>
                <w:rFonts w:ascii="arial" w:hAnsi="arial"/>
                <w:sz w:val="16"/>
              </w:rPr>
              <w:t>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17,308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870,416</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869,748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1,757,472</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shd w:fill="EFECE8" w:val="clear"/>
            <w:vAlign w:val="center"/>
          </w:tcPr>
          <w:p>
            <w:pPr>
              <w:pStyle w:val="TableContents"/>
              <w:bidi w:val="0"/>
              <w:spacing w:before="0" w:after="283"/>
              <w:jc w:val="left"/>
              <w:rPr>
                <w:sz w:val="4"/>
                <w:szCs w:val="4"/>
              </w:rPr>
            </w:pPr>
            <w:r>
              <w:rPr>
                <w:sz w:val="4"/>
                <w:szCs w:val="4"/>
              </w:rPr>
            </w:r>
          </w:p>
        </w:tc>
        <w:tc>
          <w:tcPr>
            <w:tcW w:w="7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19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restart"/>
            <w:tcBorders/>
            <w:shd w:fill="EFECE8" w:val="clear"/>
            <w:vAlign w:val="center"/>
          </w:tcPr>
          <w:p>
            <w:pPr>
              <w:pStyle w:val="TableContents"/>
              <w:bidi w:val="0"/>
              <w:spacing w:before="0" w:after="0"/>
              <w:jc w:val="left"/>
              <w:rPr>
                <w:rFonts w:ascii="arial" w:hAnsi="arial"/>
                <w:b/>
                <w:sz w:val="16"/>
              </w:rPr>
            </w:pPr>
            <w:r>
              <w:rPr>
                <w:rFonts w:ascii="arial" w:hAnsi="arial"/>
                <w:b/>
                <w:sz w:val="16"/>
              </w:rPr>
              <w:t>Tamer Khayal, M.D.</w:t>
            </w:r>
          </w:p>
          <w:p>
            <w:pPr>
              <w:pStyle w:val="TableContents"/>
              <w:bidi w:val="0"/>
              <w:spacing w:before="0" w:after="20"/>
              <w:jc w:val="left"/>
              <w:rPr>
                <w:rFonts w:ascii="arial" w:hAnsi="arial"/>
                <w:sz w:val="16"/>
              </w:rPr>
            </w:pPr>
            <w:r>
              <w:rPr>
                <w:rFonts w:ascii="arial" w:hAnsi="arial"/>
                <w:sz w:val="16"/>
              </w:rPr>
              <w:t>Chief Commercial Officer</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474,231</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1,008,239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1,003,249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577,800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14,250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3,077,769</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445,962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864,258</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866,142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450,000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4,146</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2,630,508</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421,875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379,787</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326,903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1,128,565</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2495" w:type="dxa"/>
            <w:vMerge w:val="restart"/>
            <w:tcBorders/>
            <w:vAlign w:val="center"/>
          </w:tcPr>
          <w:p>
            <w:pPr>
              <w:pStyle w:val="TableContents"/>
              <w:bidi w:val="0"/>
              <w:spacing w:before="0" w:after="0"/>
              <w:jc w:val="left"/>
              <w:rPr>
                <w:rFonts w:ascii="arial" w:hAnsi="arial"/>
                <w:b/>
                <w:sz w:val="16"/>
              </w:rPr>
            </w:pPr>
            <w:r>
              <w:rPr>
                <w:rFonts w:ascii="arial" w:hAnsi="arial"/>
                <w:b/>
                <w:sz w:val="16"/>
              </w:rPr>
              <w:t>Nicholas Corcoran(7)</w:t>
            </w:r>
          </w:p>
          <w:p>
            <w:pPr>
              <w:pStyle w:val="TableContents"/>
              <w:bidi w:val="0"/>
              <w:spacing w:before="0" w:after="20"/>
              <w:jc w:val="left"/>
              <w:rPr>
                <w:rFonts w:ascii="arial" w:hAnsi="arial"/>
                <w:sz w:val="16"/>
              </w:rPr>
            </w:pPr>
            <w:r>
              <w:rPr>
                <w:rFonts w:ascii="arial" w:hAnsi="arial"/>
                <w:sz w:val="16"/>
              </w:rPr>
              <w:t>Senior Vice President of</w:t>
              <w:br/>
              <w:t>Supply Chain and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421,154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951,205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946,458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391,500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14,250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2,724,567</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338,942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851,765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853,596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300,000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73,129</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2,517,432</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shd w:fill="EFECE8" w:val="clear"/>
            <w:vAlign w:val="center"/>
          </w:tcPr>
          <w:p>
            <w:pPr>
              <w:pStyle w:val="TableContents"/>
              <w:bidi w:val="0"/>
              <w:spacing w:before="0" w:after="283"/>
              <w:jc w:val="left"/>
              <w:rPr>
                <w:sz w:val="4"/>
                <w:szCs w:val="4"/>
              </w:rPr>
            </w:pPr>
            <w:r>
              <w:rPr>
                <w:sz w:val="4"/>
                <w:szCs w:val="4"/>
              </w:rPr>
            </w:r>
          </w:p>
        </w:tc>
        <w:tc>
          <w:tcPr>
            <w:tcW w:w="7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19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restart"/>
            <w:tcBorders/>
            <w:shd w:fill="EFECE8" w:val="clear"/>
            <w:vAlign w:val="center"/>
          </w:tcPr>
          <w:p>
            <w:pPr>
              <w:pStyle w:val="TableContents"/>
              <w:bidi w:val="0"/>
              <w:spacing w:before="0" w:after="0"/>
              <w:jc w:val="left"/>
              <w:rPr>
                <w:rFonts w:ascii="arial" w:hAnsi="arial"/>
                <w:b/>
                <w:sz w:val="16"/>
              </w:rPr>
            </w:pPr>
            <w:r>
              <w:rPr>
                <w:rFonts w:ascii="arial" w:hAnsi="arial"/>
                <w:b/>
                <w:sz w:val="16"/>
              </w:rPr>
              <w:t>Anil Ranganath(8)</w:t>
            </w:r>
          </w:p>
          <w:p>
            <w:pPr>
              <w:pStyle w:val="TableContents"/>
              <w:bidi w:val="0"/>
              <w:spacing w:before="0" w:after="20"/>
              <w:jc w:val="left"/>
              <w:rPr>
                <w:rFonts w:ascii="arial" w:hAnsi="arial"/>
                <w:sz w:val="16"/>
              </w:rPr>
            </w:pPr>
            <w:r>
              <w:rPr>
                <w:rFonts w:ascii="arial" w:hAnsi="arial"/>
                <w:sz w:val="16"/>
              </w:rPr>
              <w:t>Senior Vice President, General</w:t>
              <w:br/>
              <w:t>Counsel and Corporate Secretary</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400,000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180,000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14,250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594,250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00" w:type="dxa"/>
            <w:tcBorders/>
            <w:shd w:fill="EFECE8" w:val="clear"/>
            <w:vAlign w:val="center"/>
          </w:tcPr>
          <w:p>
            <w:pPr>
              <w:pStyle w:val="TableContents"/>
              <w:bidi w:val="0"/>
              <w:spacing w:before="0" w:after="283"/>
              <w:jc w:val="right"/>
              <w:rPr/>
            </w:pPr>
            <w:r>
              <w:rPr/>
              <w:t>2023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215,385</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892,987</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893,789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180,000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5,181</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2,187,342</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98" w:type="dxa"/>
            <w:gridSpan w:val="5"/>
            <w:tcBorders/>
            <w:vAlign w:val="center"/>
          </w:tcPr>
          <w:p>
            <w:pPr>
              <w:pStyle w:val="TableContents"/>
              <w:bidi w:val="0"/>
              <w:spacing w:before="0" w:after="283"/>
              <w:jc w:val="left"/>
              <w:rPr>
                <w:sz w:val="4"/>
                <w:szCs w:val="4"/>
              </w:rPr>
            </w:pPr>
            <w:r>
              <w:rPr>
                <w:sz w:val="4"/>
                <w:szCs w:val="4"/>
              </w:rPr>
            </w:r>
          </w:p>
        </w:tc>
      </w:tr>
      <w:tr>
        <w:trPr/>
        <w:tc>
          <w:tcPr>
            <w:tcW w:w="2495" w:type="dxa"/>
            <w:vMerge w:val="restart"/>
            <w:tcBorders>
              <w:bottom w:val="single" w:sz="8"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Stephen Gordon(9)</w:t>
            </w:r>
          </w:p>
          <w:p>
            <w:pPr>
              <w:pStyle w:val="TableContents"/>
              <w:bidi w:val="0"/>
              <w:spacing w:before="0" w:after="20"/>
              <w:jc w:val="left"/>
              <w:rPr>
                <w:rFonts w:ascii="arial" w:hAnsi="arial"/>
                <w:sz w:val="16"/>
              </w:rPr>
            </w:pPr>
            <w:r>
              <w:rPr>
                <w:rFonts w:ascii="arial" w:hAnsi="arial"/>
                <w:sz w:val="16"/>
              </w:rPr>
              <w:t>Former 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470,769</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1,825,608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2,792,805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572,400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1,102,980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6,764,562</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445,965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864,258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866,142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450,000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13,650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2,640,015</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500" w:type="dxa"/>
            <w:tcBorders>
              <w:bottom w:val="single" w:sz="8" w:space="0" w:color="A41F35"/>
            </w:tcBorders>
            <w:tcMar>
              <w:bottom w:w="40" w:type="dxa"/>
            </w:tcMar>
            <w:vAlign w:val="center"/>
          </w:tcPr>
          <w:p>
            <w:pPr>
              <w:pStyle w:val="TableContents"/>
              <w:bidi w:val="0"/>
              <w:spacing w:before="0" w:after="283"/>
              <w:jc w:val="right"/>
              <w:rPr/>
            </w:pPr>
            <w:r>
              <w:rPr/>
              <w:t>2022</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tcMar>
              <w:bottom w:w="40" w:type="dxa"/>
            </w:tcMar>
            <w:vAlign w:val="center"/>
          </w:tcPr>
          <w:p>
            <w:pPr>
              <w:pStyle w:val="TableContents"/>
              <w:bidi w:val="0"/>
              <w:spacing w:before="0" w:after="283"/>
              <w:jc w:val="right"/>
              <w:rPr/>
            </w:pPr>
            <w:r>
              <w:rPr/>
              <w:t>417,715</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tcMar>
              <w:bottom w:w="40" w:type="dxa"/>
            </w:tcMar>
            <w:vAlign w:val="center"/>
          </w:tcPr>
          <w:p>
            <w:pPr>
              <w:pStyle w:val="TableContents"/>
              <w:bidi w:val="0"/>
              <w:spacing w:before="0" w:after="283"/>
              <w:jc w:val="right"/>
              <w:rPr/>
            </w:pPr>
            <w:r>
              <w:rPr/>
              <w:t>—</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379,787</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tcMar>
              <w:bottom w:w="40" w:type="dxa"/>
            </w:tcMar>
            <w:vAlign w:val="center"/>
          </w:tcPr>
          <w:p>
            <w:pPr>
              <w:pStyle w:val="TableContents"/>
              <w:bidi w:val="0"/>
              <w:spacing w:before="0" w:after="283"/>
              <w:jc w:val="left"/>
              <w:rPr/>
            </w:pPr>
            <w:r>
              <w:rPr/>
              <w:t> </w:t>
            </w:r>
          </w:p>
        </w:tc>
        <w:tc>
          <w:tcPr>
            <w:tcW w:w="1300" w:type="dxa"/>
            <w:tcBorders>
              <w:bottom w:val="single" w:sz="8" w:space="0" w:color="A41F35"/>
            </w:tcBorders>
            <w:tcMar>
              <w:bottom w:w="40" w:type="dxa"/>
            </w:tcMar>
            <w:vAlign w:val="center"/>
          </w:tcPr>
          <w:p>
            <w:pPr>
              <w:pStyle w:val="TableContents"/>
              <w:bidi w:val="0"/>
              <w:spacing w:before="0" w:after="283"/>
              <w:jc w:val="right"/>
              <w:rPr/>
            </w:pPr>
            <w:r>
              <w:rPr/>
              <w:t>326,903</w:t>
            </w:r>
          </w:p>
        </w:tc>
        <w:tc>
          <w:tcPr>
            <w:tcW w:w="32"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tcMar>
              <w:bottom w:w="40" w:type="dxa"/>
            </w:tcMar>
            <w:vAlign w:val="center"/>
          </w:tcPr>
          <w:p>
            <w:pPr>
              <w:pStyle w:val="TableContents"/>
              <w:bidi w:val="0"/>
              <w:spacing w:before="0" w:after="283"/>
              <w:jc w:val="left"/>
              <w:rPr/>
            </w:pPr>
            <w:r>
              <w:rPr/>
              <w:t> </w:t>
            </w:r>
          </w:p>
        </w:tc>
        <w:tc>
          <w:tcPr>
            <w:tcW w:w="1300" w:type="dxa"/>
            <w:tcBorders>
              <w:bottom w:val="single" w:sz="8" w:space="0" w:color="A41F35"/>
            </w:tcBorders>
            <w:tcMar>
              <w:bottom w:w="40" w:type="dxa"/>
            </w:tcMar>
            <w:vAlign w:val="center"/>
          </w:tcPr>
          <w:p>
            <w:pPr>
              <w:pStyle w:val="TableContents"/>
              <w:bidi w:val="0"/>
              <w:spacing w:before="0" w:after="283"/>
              <w:jc w:val="right"/>
              <w:rPr/>
            </w:pPr>
            <w:r>
              <w:rPr/>
              <w:t>—</w:t>
            </w:r>
          </w:p>
        </w:tc>
        <w:tc>
          <w:tcPr>
            <w:tcW w:w="32"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1,124,405</w:t>
            </w:r>
          </w:p>
        </w:tc>
        <w:tc>
          <w:tcPr>
            <w:tcW w:w="38"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include contributions made by the named executive officer to our 401(k) plan, which is described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aggregate grant date fair value of RSUs granted during the fiscal years ended December 31, 2024 and December 31, 2023, as applicable, computed in accordance with FASB ASC 718, excluding the effect of estimated forfeitures. These amounts do not represent the actual amounts paid to or realized by the named executive officer for these awards. The amount reported in this column for 2024 for Mr. Gordon also includes the incremental fair value, as computed under FASB ASC Topic 718, related to adjustments to his RSU awards made in connection with his transition from employment as our Chief Financial Officer ($817,369), as described in more detail below under “Potential Payments Upon Termination or Change in Control — Gordon Transition.” This incremental compensation charge does not reflect additional amounts actually received by Mr. Gordon. For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34</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RSUs, the grant date fair value was calculated by multiplying the closing price of the underlying shares of our common stock on the date of grant by the number of RSUs granted. The assumptions used to value the RSUs for this purpose are set forth in Note 10 to our financial statements filed with our Annual Report on Form 10-K for the fiscal year ended December 31, 2024 and Note 10 to our financial statements filed with our Annual Report on Form 10-K for the fiscal year ended December 31, 2023. No RSUs were granted to our named executive officers prior to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aggregate grant date fair value of options to purchase our common stock granted during the fiscal years ended December 31, 2024, December 31, 2023 and December 31, 2022, as applicable, computed in accordance with FASB ASC 718, excluding the effect of estimated forfeitures. These amounts do not represent the actual amounts paid to or realized by the named executive officer for these awards. The amount reported in this column for 2024 for Mr. Gordon also includes the incremental fair value, as computed under FASB ASC Topic 718, related to adjustments to his option awards made in connection with his transition from employment as our Chief Financial Officer ($1,789,556), as described in more detail below under “Potential Payments Upon Termination or Change in Control — Gordon Transition.” The assumptions used to value the options for this purpose are set forth in Note 10 to our financial statements filed with our Annual Report on Form 10-K for the fiscal year ended December 31, 2024, Note 10 to our financial statements filed with our Annual Report on Form 10-K for the fiscal year ended December 31, 2023, and Note 10 to our financial statements filed with our Annual Report on Form 10-K for the fiscal year ended December 31,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annual bonuses paid for the fiscal years ended December 31, 2024, December 31, 2023 and December 31, 2022, as applicable. See “Compensation Discussion and Analysis — Annual Cash Incentive Bonuses” above for additional details.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305"/>
        <w:gridCol w:w="8180"/>
      </w:tblGrid>
      <w:tr>
        <w:trPr/>
        <w:tc>
          <w:tcPr>
            <w:tcW w:w="305" w:type="dxa"/>
            <w:tcBorders/>
            <w:vAlign w:val="center"/>
          </w:tcPr>
          <w:p>
            <w:pPr>
              <w:pStyle w:val="TableContents"/>
              <w:bidi w:val="0"/>
              <w:spacing w:before="0" w:after="283"/>
              <w:jc w:val="left"/>
              <w:rPr/>
            </w:pPr>
            <w:r>
              <w:rPr/>
              <w:t>(5)</w:t>
            </w:r>
          </w:p>
        </w:tc>
        <w:tc>
          <w:tcPr>
            <w:tcW w:w="8180"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for the fiscal year ended December 31, 2024 represent the following items: </w:t>
            </w:r>
          </w:p>
        </w:tc>
      </w:tr>
    </w:tbl>
    <w:p>
      <w:pPr>
        <w:pStyle w:val="TextBody"/>
        <w:bidi w:val="0"/>
        <w:spacing w:before="0" w:after="0"/>
        <w:jc w:val="left"/>
        <w:rPr/>
      </w:pPr>
      <w:r>
        <w:rPr/>
        <w:t> </w:t>
      </w:r>
    </w:p>
    <w:tbl>
      <w:tblPr>
        <w:tblW w:w="9719" w:type="dxa"/>
        <w:jc w:val="left"/>
        <w:tblInd w:w="0" w:type="dxa"/>
        <w:tblLayout w:type="fixed"/>
        <w:tblCellMar>
          <w:top w:w="0" w:type="dxa"/>
          <w:left w:w="0" w:type="dxa"/>
          <w:bottom w:w="0" w:type="dxa"/>
          <w:right w:w="0" w:type="dxa"/>
        </w:tblCellMar>
      </w:tblPr>
      <w:tblGrid>
        <w:gridCol w:w="2285"/>
        <w:gridCol w:w="120"/>
        <w:gridCol w:w="60"/>
        <w:gridCol w:w="60"/>
        <w:gridCol w:w="980"/>
        <w:gridCol w:w="23"/>
        <w:gridCol w:w="120"/>
        <w:gridCol w:w="99"/>
        <w:gridCol w:w="99"/>
        <w:gridCol w:w="1131"/>
        <w:gridCol w:w="41"/>
        <w:gridCol w:w="120"/>
        <w:gridCol w:w="123"/>
        <w:gridCol w:w="123"/>
        <w:gridCol w:w="1403"/>
        <w:gridCol w:w="49"/>
        <w:gridCol w:w="120"/>
        <w:gridCol w:w="172"/>
        <w:gridCol w:w="172"/>
        <w:gridCol w:w="1093"/>
        <w:gridCol w:w="68"/>
        <w:gridCol w:w="120"/>
        <w:gridCol w:w="60"/>
        <w:gridCol w:w="60"/>
        <w:gridCol w:w="980"/>
        <w:gridCol w:w="38"/>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 and Principal Position</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3" w:type="dxa"/>
            <w:gridSpan w:val="4"/>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Cash</w:t>
              <w:br/>
              <w:t>Severance</w:t>
            </w:r>
          </w:p>
          <w:p>
            <w:pPr>
              <w:pStyle w:val="TableContents"/>
              <w:bidi w:val="0"/>
              <w:spacing w:before="0" w:after="20"/>
              <w:jc w:val="center"/>
              <w:rPr>
                <w:rFonts w:ascii="arial" w:hAnsi="arial"/>
                <w:b/>
                <w:sz w:val="16"/>
              </w:rPr>
            </w:pPr>
            <w:r>
              <w:rPr>
                <w:rFonts w:ascii="arial" w:hAnsi="arial"/>
                <w:b/>
                <w:sz w:val="16"/>
              </w:rPr>
              <w:t>($)(a)</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7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Benefits</w:t>
              <w:br/>
              <w:t>Continuation</w:t>
              <w:br/>
              <w:t>($)(b)</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98"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Company</w:t>
              <w:br/>
              <w:t>401(k) Matching</w:t>
              <w:br/>
              <w:t>Contributions</w:t>
              <w:br/>
              <w: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0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Group Term</w:t>
              <w:br/>
              <w:t>Life Insurance</w:t>
              <w:br/>
              <w:t>Premium Paid</w:t>
              <w:br/>
              <w:t>by Company</w:t>
              <w:br/>
              <w: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38" w:type="dxa"/>
            <w:gridSpan w:val="4"/>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818" w:type="dxa"/>
            <w:gridSpan w:val="5"/>
            <w:tcBorders/>
            <w:shd w:fill="EFECE8" w:val="clear"/>
            <w:vAlign w:val="center"/>
          </w:tcPr>
          <w:p>
            <w:pPr>
              <w:pStyle w:val="TableContents"/>
              <w:bidi w:val="0"/>
              <w:spacing w:before="0" w:after="283"/>
              <w:jc w:val="left"/>
              <w:rPr>
                <w:sz w:val="4"/>
                <w:szCs w:val="4"/>
              </w:rPr>
            </w:pPr>
            <w:r>
              <w:rPr>
                <w:sz w:val="4"/>
                <w:szCs w:val="4"/>
              </w:rPr>
            </w:r>
          </w:p>
        </w:tc>
        <w:tc>
          <w:tcPr>
            <w:tcW w:w="1625" w:type="dxa"/>
            <w:gridSpan w:val="5"/>
            <w:tcBorders/>
            <w:shd w:fill="EFECE8" w:val="clear"/>
            <w:vAlign w:val="center"/>
          </w:tcPr>
          <w:p>
            <w:pPr>
              <w:pStyle w:val="TableContents"/>
              <w:bidi w:val="0"/>
              <w:spacing w:before="0" w:after="283"/>
              <w:jc w:val="left"/>
              <w:rPr>
                <w:sz w:val="4"/>
                <w:szCs w:val="4"/>
              </w:rPr>
            </w:pPr>
            <w:r>
              <w:rPr>
                <w:sz w:val="4"/>
                <w:szCs w:val="4"/>
              </w:rPr>
            </w:r>
          </w:p>
        </w:tc>
        <w:tc>
          <w:tcPr>
            <w:tcW w:w="125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1131" w:type="dxa"/>
            <w:tcBorders/>
            <w:shd w:fill="EFECE8" w:val="clear"/>
            <w:vAlign w:val="center"/>
          </w:tcPr>
          <w:p>
            <w:pPr>
              <w:pStyle w:val="TableContents"/>
              <w:bidi w:val="0"/>
              <w:spacing w:before="0" w:after="283"/>
              <w:jc w:val="right"/>
              <w:rPr/>
            </w:pPr>
            <w:r>
              <w:rPr/>
              <w:t>—</w:t>
            </w:r>
          </w:p>
        </w:tc>
        <w:tc>
          <w:tcPr>
            <w:tcW w:w="4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403" w:type="dxa"/>
            <w:tcBorders/>
            <w:shd w:fill="EFECE8" w:val="clear"/>
            <w:vAlign w:val="center"/>
          </w:tcPr>
          <w:p>
            <w:pPr>
              <w:pStyle w:val="TableContents"/>
              <w:bidi w:val="0"/>
              <w:spacing w:before="0" w:after="283"/>
              <w:jc w:val="right"/>
              <w:rPr/>
            </w:pPr>
            <w:r>
              <w:rPr/>
              <w:t>13,800</w:t>
            </w:r>
          </w:p>
        </w:tc>
        <w:tc>
          <w:tcPr>
            <w:tcW w:w="4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093" w:type="dxa"/>
            <w:tcBorders/>
            <w:shd w:fill="EFECE8" w:val="clear"/>
            <w:vAlign w:val="center"/>
          </w:tcPr>
          <w:p>
            <w:pPr>
              <w:pStyle w:val="TableContents"/>
              <w:bidi w:val="0"/>
              <w:spacing w:before="0" w:after="283"/>
              <w:jc w:val="right"/>
              <w:rPr/>
            </w:pPr>
            <w:r>
              <w:rPr/>
              <w:t>450</w:t>
            </w:r>
          </w:p>
        </w:tc>
        <w:tc>
          <w:tcPr>
            <w:tcW w:w="6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14,250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81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818" w:type="dxa"/>
            <w:gridSpan w:val="5"/>
            <w:tcBorders/>
            <w:shd w:fill="EFECE8" w:val="clear"/>
            <w:vAlign w:val="center"/>
          </w:tcPr>
          <w:p>
            <w:pPr>
              <w:pStyle w:val="TableContents"/>
              <w:bidi w:val="0"/>
              <w:spacing w:before="0" w:after="283"/>
              <w:jc w:val="left"/>
              <w:rPr>
                <w:sz w:val="4"/>
                <w:szCs w:val="4"/>
              </w:rPr>
            </w:pPr>
            <w:r>
              <w:rPr>
                <w:sz w:val="4"/>
                <w:szCs w:val="4"/>
              </w:rPr>
            </w:r>
          </w:p>
        </w:tc>
        <w:tc>
          <w:tcPr>
            <w:tcW w:w="1625" w:type="dxa"/>
            <w:gridSpan w:val="5"/>
            <w:tcBorders/>
            <w:shd w:fill="EFECE8" w:val="clear"/>
            <w:vAlign w:val="center"/>
          </w:tcPr>
          <w:p>
            <w:pPr>
              <w:pStyle w:val="TableContents"/>
              <w:bidi w:val="0"/>
              <w:spacing w:before="0" w:after="283"/>
              <w:jc w:val="left"/>
              <w:rPr>
                <w:sz w:val="4"/>
                <w:szCs w:val="4"/>
              </w:rPr>
            </w:pPr>
            <w:r>
              <w:rPr>
                <w:sz w:val="4"/>
                <w:szCs w:val="4"/>
              </w:rPr>
            </w:r>
          </w:p>
        </w:tc>
        <w:tc>
          <w:tcPr>
            <w:tcW w:w="125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1131" w:type="dxa"/>
            <w:tcBorders/>
            <w:shd w:fill="EFECE8" w:val="clear"/>
            <w:vAlign w:val="center"/>
          </w:tcPr>
          <w:p>
            <w:pPr>
              <w:pStyle w:val="TableContents"/>
              <w:bidi w:val="0"/>
              <w:spacing w:before="0" w:after="283"/>
              <w:jc w:val="right"/>
              <w:rPr/>
            </w:pPr>
            <w:r>
              <w:rPr/>
              <w:t>—</w:t>
            </w:r>
          </w:p>
        </w:tc>
        <w:tc>
          <w:tcPr>
            <w:tcW w:w="4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403" w:type="dxa"/>
            <w:tcBorders/>
            <w:shd w:fill="EFECE8" w:val="clear"/>
            <w:vAlign w:val="center"/>
          </w:tcPr>
          <w:p>
            <w:pPr>
              <w:pStyle w:val="TableContents"/>
              <w:bidi w:val="0"/>
              <w:spacing w:before="0" w:after="283"/>
              <w:jc w:val="right"/>
              <w:rPr/>
            </w:pPr>
            <w:r>
              <w:rPr/>
              <w:t>13,800</w:t>
            </w:r>
          </w:p>
        </w:tc>
        <w:tc>
          <w:tcPr>
            <w:tcW w:w="4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093" w:type="dxa"/>
            <w:tcBorders/>
            <w:shd w:fill="EFECE8" w:val="clear"/>
            <w:vAlign w:val="center"/>
          </w:tcPr>
          <w:p>
            <w:pPr>
              <w:pStyle w:val="TableContents"/>
              <w:bidi w:val="0"/>
              <w:spacing w:before="0" w:after="283"/>
              <w:jc w:val="right"/>
              <w:rPr/>
            </w:pPr>
            <w:r>
              <w:rPr/>
              <w:t>450</w:t>
            </w:r>
          </w:p>
        </w:tc>
        <w:tc>
          <w:tcPr>
            <w:tcW w:w="6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14,250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81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w:t>
            </w:r>
          </w:p>
        </w:tc>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13,800</w:t>
            </w:r>
          </w:p>
        </w:tc>
        <w:tc>
          <w:tcPr>
            <w:tcW w:w="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450</w:t>
            </w:r>
          </w:p>
        </w:tc>
        <w:tc>
          <w:tcPr>
            <w:tcW w:w="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14,250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818" w:type="dxa"/>
            <w:gridSpan w:val="5"/>
            <w:tcBorders/>
            <w:shd w:fill="EFECE8" w:val="clear"/>
            <w:vAlign w:val="center"/>
          </w:tcPr>
          <w:p>
            <w:pPr>
              <w:pStyle w:val="TableContents"/>
              <w:bidi w:val="0"/>
              <w:spacing w:before="0" w:after="283"/>
              <w:jc w:val="left"/>
              <w:rPr>
                <w:sz w:val="4"/>
                <w:szCs w:val="4"/>
              </w:rPr>
            </w:pPr>
            <w:r>
              <w:rPr>
                <w:sz w:val="4"/>
                <w:szCs w:val="4"/>
              </w:rPr>
            </w:r>
          </w:p>
        </w:tc>
        <w:tc>
          <w:tcPr>
            <w:tcW w:w="1625" w:type="dxa"/>
            <w:gridSpan w:val="5"/>
            <w:tcBorders/>
            <w:shd w:fill="EFECE8" w:val="clear"/>
            <w:vAlign w:val="center"/>
          </w:tcPr>
          <w:p>
            <w:pPr>
              <w:pStyle w:val="TableContents"/>
              <w:bidi w:val="0"/>
              <w:spacing w:before="0" w:after="283"/>
              <w:jc w:val="left"/>
              <w:rPr>
                <w:sz w:val="4"/>
                <w:szCs w:val="4"/>
              </w:rPr>
            </w:pPr>
            <w:r>
              <w:rPr>
                <w:sz w:val="4"/>
                <w:szCs w:val="4"/>
              </w:rPr>
            </w:r>
          </w:p>
        </w:tc>
        <w:tc>
          <w:tcPr>
            <w:tcW w:w="1258"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99" w:type="dxa"/>
            <w:tcBorders/>
            <w:shd w:fill="EFECE8" w:val="clear"/>
            <w:vAlign w:val="center"/>
          </w:tcPr>
          <w:p>
            <w:pPr>
              <w:pStyle w:val="TableContents"/>
              <w:bidi w:val="0"/>
              <w:spacing w:before="0" w:after="283"/>
              <w:jc w:val="left"/>
              <w:rPr/>
            </w:pPr>
            <w:r>
              <w:rPr/>
              <w:t> </w:t>
            </w:r>
          </w:p>
        </w:tc>
        <w:tc>
          <w:tcPr>
            <w:tcW w:w="1131" w:type="dxa"/>
            <w:tcBorders/>
            <w:shd w:fill="EFECE8" w:val="clear"/>
            <w:vAlign w:val="center"/>
          </w:tcPr>
          <w:p>
            <w:pPr>
              <w:pStyle w:val="TableContents"/>
              <w:bidi w:val="0"/>
              <w:spacing w:before="0" w:after="283"/>
              <w:jc w:val="right"/>
              <w:rPr/>
            </w:pPr>
            <w:r>
              <w:rPr/>
              <w:t>—</w:t>
            </w:r>
          </w:p>
        </w:tc>
        <w:tc>
          <w:tcPr>
            <w:tcW w:w="4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23" w:type="dxa"/>
            <w:tcBorders/>
            <w:shd w:fill="EFECE8" w:val="clear"/>
            <w:vAlign w:val="center"/>
          </w:tcPr>
          <w:p>
            <w:pPr>
              <w:pStyle w:val="TableContents"/>
              <w:bidi w:val="0"/>
              <w:spacing w:before="0" w:after="283"/>
              <w:jc w:val="left"/>
              <w:rPr/>
            </w:pPr>
            <w:r>
              <w:rPr/>
              <w:t> </w:t>
            </w:r>
          </w:p>
        </w:tc>
        <w:tc>
          <w:tcPr>
            <w:tcW w:w="1403" w:type="dxa"/>
            <w:tcBorders/>
            <w:shd w:fill="EFECE8" w:val="clear"/>
            <w:vAlign w:val="center"/>
          </w:tcPr>
          <w:p>
            <w:pPr>
              <w:pStyle w:val="TableContents"/>
              <w:bidi w:val="0"/>
              <w:spacing w:before="0" w:after="283"/>
              <w:jc w:val="right"/>
              <w:rPr/>
            </w:pPr>
            <w:r>
              <w:rPr/>
              <w:t>13,800</w:t>
            </w:r>
          </w:p>
        </w:tc>
        <w:tc>
          <w:tcPr>
            <w:tcW w:w="49"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72" w:type="dxa"/>
            <w:tcBorders/>
            <w:shd w:fill="EFECE8" w:val="clear"/>
            <w:vAlign w:val="center"/>
          </w:tcPr>
          <w:p>
            <w:pPr>
              <w:pStyle w:val="TableContents"/>
              <w:bidi w:val="0"/>
              <w:spacing w:before="0" w:after="283"/>
              <w:jc w:val="left"/>
              <w:rPr/>
            </w:pPr>
            <w:r>
              <w:rPr/>
              <w:t> </w:t>
            </w:r>
          </w:p>
        </w:tc>
        <w:tc>
          <w:tcPr>
            <w:tcW w:w="1093" w:type="dxa"/>
            <w:tcBorders/>
            <w:shd w:fill="EFECE8" w:val="clear"/>
            <w:vAlign w:val="center"/>
          </w:tcPr>
          <w:p>
            <w:pPr>
              <w:pStyle w:val="TableContents"/>
              <w:bidi w:val="0"/>
              <w:spacing w:before="0" w:after="283"/>
              <w:jc w:val="right"/>
              <w:rPr/>
            </w:pPr>
            <w:r>
              <w:rPr/>
              <w:t>450</w:t>
            </w:r>
          </w:p>
        </w:tc>
        <w:tc>
          <w:tcPr>
            <w:tcW w:w="6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14,250</w:t>
            </w:r>
          </w:p>
        </w:tc>
        <w:tc>
          <w:tcPr>
            <w:tcW w:w="38"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818" w:type="dxa"/>
            <w:gridSpan w:val="5"/>
            <w:tcBorders/>
            <w:vAlign w:val="center"/>
          </w:tcPr>
          <w:p>
            <w:pPr>
              <w:pStyle w:val="TableContents"/>
              <w:bidi w:val="0"/>
              <w:spacing w:before="0" w:after="283"/>
              <w:jc w:val="left"/>
              <w:rPr>
                <w:sz w:val="4"/>
                <w:szCs w:val="4"/>
              </w:rPr>
            </w:pPr>
            <w:r>
              <w:rPr>
                <w:sz w:val="4"/>
                <w:szCs w:val="4"/>
              </w:rPr>
            </w:r>
          </w:p>
        </w:tc>
        <w:tc>
          <w:tcPr>
            <w:tcW w:w="1625"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1,049,400</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99" w:type="dxa"/>
            <w:tcBorders>
              <w:bottom w:val="single" w:sz="8" w:space="0" w:color="A41F35"/>
            </w:tcBorders>
            <w:tcMar>
              <w:bottom w:w="28" w:type="dxa"/>
            </w:tcMar>
            <w:vAlign w:val="center"/>
          </w:tcPr>
          <w:p>
            <w:pPr>
              <w:pStyle w:val="TableContents"/>
              <w:bidi w:val="0"/>
              <w:spacing w:before="0" w:after="283"/>
              <w:jc w:val="left"/>
              <w:rPr/>
            </w:pPr>
            <w:r>
              <w:rPr/>
              <w:t> </w:t>
            </w:r>
          </w:p>
        </w:tc>
        <w:tc>
          <w:tcPr>
            <w:tcW w:w="99" w:type="dxa"/>
            <w:tcBorders>
              <w:bottom w:val="single" w:sz="8" w:space="0" w:color="A41F35"/>
            </w:tcBorders>
            <w:tcMar>
              <w:bottom w:w="40" w:type="dxa"/>
            </w:tcMar>
            <w:vAlign w:val="center"/>
          </w:tcPr>
          <w:p>
            <w:pPr>
              <w:pStyle w:val="TableContents"/>
              <w:bidi w:val="0"/>
              <w:spacing w:before="0" w:after="283"/>
              <w:jc w:val="left"/>
              <w:rPr/>
            </w:pPr>
            <w:r>
              <w:rPr/>
              <w:t> </w:t>
            </w:r>
          </w:p>
        </w:tc>
        <w:tc>
          <w:tcPr>
            <w:tcW w:w="1131" w:type="dxa"/>
            <w:tcBorders>
              <w:bottom w:val="single" w:sz="8" w:space="0" w:color="A41F35"/>
            </w:tcBorders>
            <w:tcMar>
              <w:bottom w:w="40" w:type="dxa"/>
            </w:tcMar>
            <w:vAlign w:val="center"/>
          </w:tcPr>
          <w:p>
            <w:pPr>
              <w:pStyle w:val="TableContents"/>
              <w:bidi w:val="0"/>
              <w:spacing w:before="0" w:after="283"/>
              <w:jc w:val="right"/>
              <w:rPr/>
            </w:pPr>
            <w:r>
              <w:rPr/>
              <w:t>39,330</w:t>
            </w:r>
          </w:p>
        </w:tc>
        <w:tc>
          <w:tcPr>
            <w:tcW w:w="41"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23" w:type="dxa"/>
            <w:tcBorders>
              <w:bottom w:val="single" w:sz="8" w:space="0" w:color="A41F35"/>
            </w:tcBorders>
            <w:tcMar>
              <w:bottom w:w="28" w:type="dxa"/>
            </w:tcMar>
            <w:vAlign w:val="center"/>
          </w:tcPr>
          <w:p>
            <w:pPr>
              <w:pStyle w:val="TableContents"/>
              <w:bidi w:val="0"/>
              <w:spacing w:before="0" w:after="283"/>
              <w:jc w:val="left"/>
              <w:rPr/>
            </w:pPr>
            <w:r>
              <w:rPr/>
              <w:t> </w:t>
            </w:r>
          </w:p>
        </w:tc>
        <w:tc>
          <w:tcPr>
            <w:tcW w:w="123" w:type="dxa"/>
            <w:tcBorders>
              <w:bottom w:val="single" w:sz="8" w:space="0" w:color="A41F35"/>
            </w:tcBorders>
            <w:tcMar>
              <w:bottom w:w="40" w:type="dxa"/>
            </w:tcMar>
            <w:vAlign w:val="center"/>
          </w:tcPr>
          <w:p>
            <w:pPr>
              <w:pStyle w:val="TableContents"/>
              <w:bidi w:val="0"/>
              <w:spacing w:before="0" w:after="283"/>
              <w:jc w:val="left"/>
              <w:rPr/>
            </w:pPr>
            <w:r>
              <w:rPr/>
              <w:t> </w:t>
            </w:r>
          </w:p>
        </w:tc>
        <w:tc>
          <w:tcPr>
            <w:tcW w:w="1403" w:type="dxa"/>
            <w:tcBorders>
              <w:bottom w:val="single" w:sz="8" w:space="0" w:color="A41F35"/>
            </w:tcBorders>
            <w:tcMar>
              <w:bottom w:w="40" w:type="dxa"/>
            </w:tcMar>
            <w:vAlign w:val="center"/>
          </w:tcPr>
          <w:p>
            <w:pPr>
              <w:pStyle w:val="TableContents"/>
              <w:bidi w:val="0"/>
              <w:spacing w:before="0" w:after="283"/>
              <w:jc w:val="right"/>
              <w:rPr/>
            </w:pPr>
            <w:r>
              <w:rPr/>
              <w:t>13,800</w:t>
            </w:r>
          </w:p>
        </w:tc>
        <w:tc>
          <w:tcPr>
            <w:tcW w:w="49"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72" w:type="dxa"/>
            <w:tcBorders>
              <w:bottom w:val="single" w:sz="8" w:space="0" w:color="A41F35"/>
            </w:tcBorders>
            <w:tcMar>
              <w:bottom w:w="28" w:type="dxa"/>
            </w:tcMar>
            <w:vAlign w:val="center"/>
          </w:tcPr>
          <w:p>
            <w:pPr>
              <w:pStyle w:val="TableContents"/>
              <w:bidi w:val="0"/>
              <w:spacing w:before="0" w:after="283"/>
              <w:jc w:val="left"/>
              <w:rPr/>
            </w:pPr>
            <w:r>
              <w:rPr/>
              <w:t> </w:t>
            </w:r>
          </w:p>
        </w:tc>
        <w:tc>
          <w:tcPr>
            <w:tcW w:w="172" w:type="dxa"/>
            <w:tcBorders>
              <w:bottom w:val="single" w:sz="8" w:space="0" w:color="A41F35"/>
            </w:tcBorders>
            <w:tcMar>
              <w:bottom w:w="40" w:type="dxa"/>
            </w:tcMar>
            <w:vAlign w:val="center"/>
          </w:tcPr>
          <w:p>
            <w:pPr>
              <w:pStyle w:val="TableContents"/>
              <w:bidi w:val="0"/>
              <w:spacing w:before="0" w:after="283"/>
              <w:jc w:val="left"/>
              <w:rPr/>
            </w:pPr>
            <w:r>
              <w:rPr/>
              <w:t> </w:t>
            </w:r>
          </w:p>
        </w:tc>
        <w:tc>
          <w:tcPr>
            <w:tcW w:w="1093" w:type="dxa"/>
            <w:tcBorders>
              <w:bottom w:val="single" w:sz="8" w:space="0" w:color="A41F35"/>
            </w:tcBorders>
            <w:tcMar>
              <w:bottom w:w="40" w:type="dxa"/>
            </w:tcMar>
            <w:vAlign w:val="center"/>
          </w:tcPr>
          <w:p>
            <w:pPr>
              <w:pStyle w:val="TableContents"/>
              <w:bidi w:val="0"/>
              <w:spacing w:before="0" w:after="283"/>
              <w:jc w:val="right"/>
              <w:rPr/>
            </w:pPr>
            <w:r>
              <w:rPr/>
              <w:t>450</w:t>
            </w:r>
          </w:p>
        </w:tc>
        <w:tc>
          <w:tcPr>
            <w:tcW w:w="68"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1,102,980</w:t>
            </w:r>
          </w:p>
        </w:tc>
        <w:tc>
          <w:tcPr>
            <w:tcW w:w="38"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0"/>
              <w:jc w:val="left"/>
              <w:rPr>
                <w:rFonts w:ascii="arial" w:hAnsi="arial"/>
                <w:sz w:val="16"/>
              </w:rPr>
            </w:pPr>
            <w:r>
              <w:rPr>
                <w:rFonts w:ascii="arial" w:hAnsi="arial"/>
                <w:sz w:val="16"/>
              </w:rPr>
              <w:t xml:space="preserve">The amount reported in this column for Mr. Gordon represents the cash severance payments to which Mr. Gordon is entitled to receive in connection with his termination of employment on March 31, 2025, which was accrued in 2024 when he transitioned from employment as our Chief Financial Officer but will not be paid until 2025 or 2026. For more information, see “Potential Payments Upon Termination or Change in Control — Gordon Transition.”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0"/>
              <w:jc w:val="left"/>
              <w:rPr>
                <w:rFonts w:ascii="arial" w:hAnsi="arial"/>
                <w:sz w:val="16"/>
              </w:rPr>
            </w:pPr>
            <w:r>
              <w:rPr>
                <w:rFonts w:ascii="arial" w:hAnsi="arial"/>
                <w:sz w:val="16"/>
              </w:rPr>
              <w:t xml:space="preserve">The amount reported in this column for Mr. Gordon represents an amount equal to the Company’s monthly portion of the premium for Mr. Gordon’s medical benefits for 18 months, to which Mr. Gordon is entitled to receive in connection with his termination of employment on March 31, 2025, which was accrued in 2024 when he transitioned from employment as our Chief Financial Officer but will not be paid until 2025 or 2026. For more information, see “Potential Payments Upon Termination or Change in Control — Gordon Transition.”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305"/>
        <w:gridCol w:w="5270"/>
      </w:tblGrid>
      <w:tr>
        <w:trPr/>
        <w:tc>
          <w:tcPr>
            <w:tcW w:w="305" w:type="dxa"/>
            <w:tcBorders/>
            <w:vAlign w:val="center"/>
          </w:tcPr>
          <w:p>
            <w:pPr>
              <w:pStyle w:val="TableContents"/>
              <w:bidi w:val="0"/>
              <w:spacing w:before="0" w:after="283"/>
              <w:jc w:val="left"/>
              <w:rPr/>
            </w:pPr>
            <w:r>
              <w:rPr/>
              <w:t>(6)</w:t>
            </w:r>
          </w:p>
        </w:tc>
        <w:tc>
          <w:tcPr>
            <w:tcW w:w="5270" w:type="dxa"/>
            <w:tcBorders/>
            <w:vAlign w:val="center"/>
          </w:tcPr>
          <w:p>
            <w:pPr>
              <w:pStyle w:val="TableContents"/>
              <w:bidi w:val="0"/>
              <w:spacing w:before="0" w:after="0"/>
              <w:jc w:val="left"/>
              <w:rPr>
                <w:rFonts w:ascii="arial" w:hAnsi="arial"/>
                <w:sz w:val="16"/>
              </w:rPr>
            </w:pPr>
            <w:r>
              <w:rPr>
                <w:rFonts w:ascii="arial" w:hAnsi="arial"/>
                <w:sz w:val="16"/>
              </w:rPr>
              <w:t xml:space="preserve">Mr. Hernandez commenced employment with us on December 2,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(7)</w:t>
            </w:r>
          </w:p>
        </w:tc>
        <w:tc>
          <w:tcPr>
            <w:tcW w:w="9930" w:type="dxa"/>
            <w:tcBorders/>
            <w:vAlign w:val="center"/>
          </w:tcPr>
          <w:p>
            <w:pPr>
              <w:pStyle w:val="TableContents"/>
              <w:bidi w:val="0"/>
              <w:spacing w:before="0" w:after="0"/>
              <w:jc w:val="left"/>
              <w:rPr>
                <w:rFonts w:ascii="arial" w:hAnsi="arial"/>
                <w:sz w:val="16"/>
              </w:rPr>
            </w:pPr>
            <w:r>
              <w:rPr>
                <w:rFonts w:ascii="arial" w:hAnsi="arial"/>
                <w:sz w:val="16"/>
              </w:rPr>
              <w:t xml:space="preserve">Mr. Corcoran commenced employment with us on January 23, 2023. The amount reported in the Bonus column represents a signing bonus paid to Mr. Corcoran in connection with his commencing employment with us.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305"/>
        <w:gridCol w:w="4850"/>
      </w:tblGrid>
      <w:tr>
        <w:trPr/>
        <w:tc>
          <w:tcPr>
            <w:tcW w:w="305" w:type="dxa"/>
            <w:tcBorders/>
            <w:vAlign w:val="center"/>
          </w:tcPr>
          <w:p>
            <w:pPr>
              <w:pStyle w:val="TableContents"/>
              <w:bidi w:val="0"/>
              <w:spacing w:before="0" w:after="283"/>
              <w:jc w:val="left"/>
              <w:rPr/>
            </w:pPr>
            <w:r>
              <w:rPr/>
              <w:t>(8)</w:t>
            </w:r>
          </w:p>
        </w:tc>
        <w:tc>
          <w:tcPr>
            <w:tcW w:w="4850" w:type="dxa"/>
            <w:tcBorders/>
            <w:vAlign w:val="center"/>
          </w:tcPr>
          <w:p>
            <w:pPr>
              <w:pStyle w:val="TableContents"/>
              <w:bidi w:val="0"/>
              <w:spacing w:before="0" w:after="0"/>
              <w:jc w:val="left"/>
              <w:rPr>
                <w:rFonts w:ascii="arial" w:hAnsi="arial"/>
                <w:sz w:val="16"/>
              </w:rPr>
            </w:pPr>
            <w:r>
              <w:rPr>
                <w:rFonts w:ascii="arial" w:hAnsi="arial"/>
                <w:sz w:val="16"/>
              </w:rPr>
              <w:t xml:space="preserve">Mr. Ranganath commenced employment with us on June 5,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(9)</w:t>
            </w:r>
          </w:p>
        </w:tc>
        <w:tc>
          <w:tcPr>
            <w:tcW w:w="9949" w:type="dxa"/>
            <w:tcBorders/>
            <w:vAlign w:val="center"/>
          </w:tcPr>
          <w:p>
            <w:pPr>
              <w:pStyle w:val="TableContents"/>
              <w:bidi w:val="0"/>
              <w:spacing w:before="0" w:after="0"/>
              <w:jc w:val="left"/>
              <w:rPr>
                <w:rFonts w:ascii="arial" w:hAnsi="arial"/>
                <w:sz w:val="16"/>
              </w:rPr>
            </w:pPr>
            <w:r>
              <w:rPr>
                <w:rFonts w:ascii="arial" w:hAnsi="arial"/>
                <w:sz w:val="16"/>
              </w:rPr>
              <w:t xml:space="preserve">Mr. Gordon ceased to serve as our Chief Financial Officer as of December 2, 2024, on which date Mr. Gordon transitioned to non-executive employee role with us through March 31, 2025. From March 31, 2025 through March 31, 2026, Mr. Gordon is expected to serve as a senior advisor to our Chief Executive Officer as a non-employee consultant to the Company.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r>
        <w:rPr>
          <w:rFonts w:ascii="arial" w:hAnsi="arial"/>
          <w:b/>
          <w:color w:val="A41F35"/>
          <w:sz w:val="28"/>
        </w:rPr>
        <w:t xml:space="preserve">Grants of Plan-Based Awards Table </w:t>
      </w:r>
    </w:p>
    <w:p>
      <w:pPr>
        <w:pStyle w:val="TextBody"/>
        <w:bidi w:val="0"/>
        <w:spacing w:before="120" w:after="0"/>
        <w:jc w:val="left"/>
        <w:rPr>
          <w:rFonts w:ascii="arial" w:hAnsi="arial"/>
          <w:sz w:val="18"/>
        </w:rPr>
      </w:pPr>
      <w:r>
        <w:rPr>
          <w:rFonts w:ascii="arial" w:hAnsi="arial"/>
          <w:sz w:val="18"/>
        </w:rPr>
        <w:t xml:space="preserve">The following table sets forth information regarding plan-based awards made to each of our named executive officers during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54"/>
        <w:gridCol w:w="120"/>
        <w:gridCol w:w="60"/>
        <w:gridCol w:w="60"/>
        <w:gridCol w:w="568"/>
        <w:gridCol w:w="234"/>
        <w:gridCol w:w="60"/>
        <w:gridCol w:w="68"/>
        <w:gridCol w:w="68"/>
        <w:gridCol w:w="907"/>
        <w:gridCol w:w="27"/>
        <w:gridCol w:w="120"/>
        <w:gridCol w:w="60"/>
        <w:gridCol w:w="60"/>
        <w:gridCol w:w="800"/>
        <w:gridCol w:w="23"/>
        <w:gridCol w:w="120"/>
        <w:gridCol w:w="60"/>
        <w:gridCol w:w="60"/>
        <w:gridCol w:w="980"/>
        <w:gridCol w:w="23"/>
        <w:gridCol w:w="120"/>
        <w:gridCol w:w="83"/>
        <w:gridCol w:w="83"/>
        <w:gridCol w:w="946"/>
        <w:gridCol w:w="33"/>
        <w:gridCol w:w="120"/>
        <w:gridCol w:w="64"/>
        <w:gridCol w:w="64"/>
        <w:gridCol w:w="735"/>
        <w:gridCol w:w="27"/>
        <w:gridCol w:w="120"/>
        <w:gridCol w:w="74"/>
        <w:gridCol w:w="74"/>
        <w:gridCol w:w="698"/>
        <w:gridCol w:w="30"/>
        <w:gridCol w:w="120"/>
        <w:gridCol w:w="60"/>
        <w:gridCol w:w="60"/>
        <w:gridCol w:w="980"/>
        <w:gridCol w:w="82"/>
      </w:tblGrid>
      <w:tr>
        <w:trPr/>
        <w:tc>
          <w:tcPr>
            <w:tcW w:w="11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restart"/>
            <w:tcBorders>
              <w:bottom w:val="single" w:sz="16" w:space="0" w:color="A41F35"/>
            </w:tcBorders>
            <w:tcMar>
              <w:bottom w:w="40" w:type="dxa"/>
            </w:tcMar>
            <w:vAlign w:val="center"/>
          </w:tcPr>
          <w:p>
            <w:pPr>
              <w:pStyle w:val="TableContents"/>
              <w:bidi w:val="0"/>
              <w:spacing w:before="0" w:after="20"/>
              <w:jc w:val="left"/>
              <w:rPr>
                <w:rFonts w:ascii="arial" w:hAnsi="arial"/>
                <w:b/>
                <w:sz w:val="16"/>
              </w:rPr>
            </w:pPr>
            <w:r>
              <w:rPr>
                <w:rFonts w:ascii="arial" w:hAnsi="arial"/>
                <w:b/>
                <w:sz w:val="16"/>
              </w:rPr>
              <w:t>Name</w:t>
            </w:r>
          </w:p>
        </w:tc>
        <w:tc>
          <w:tcPr>
            <w:tcW w:w="120" w:type="dxa"/>
            <w:vMerge w:val="restart"/>
            <w:tcBorders>
              <w:bottom w:val="single" w:sz="16" w:space="0" w:color="A41F35"/>
            </w:tcBorders>
            <w:tcMar>
              <w:bottom w:w="28" w:type="dxa"/>
            </w:tcMar>
            <w:vAlign w:val="center"/>
          </w:tcPr>
          <w:p>
            <w:pPr>
              <w:pStyle w:val="TableContents"/>
              <w:bidi w:val="0"/>
              <w:spacing w:before="0" w:after="283"/>
              <w:jc w:val="left"/>
              <w:rPr/>
            </w:pPr>
            <w:r>
              <w:rPr/>
              <w:t>  </w:t>
            </w:r>
          </w:p>
        </w:tc>
        <w:tc>
          <w:tcPr>
            <w:tcW w:w="922" w:type="dxa"/>
            <w:gridSpan w:val="4"/>
            <w:vMerge w:val="restart"/>
            <w:tcBorders>
              <w:bottom w:val="single" w:sz="16" w:space="0" w:color="A41F35"/>
            </w:tcBorders>
            <w:tcMar>
              <w:bottom w:w="40" w:type="dxa"/>
            </w:tcMar>
            <w:vAlign w:val="center"/>
          </w:tcPr>
          <w:p>
            <w:pPr>
              <w:pStyle w:val="TableContents"/>
              <w:bidi w:val="0"/>
              <w:spacing w:before="0" w:after="20"/>
              <w:jc w:val="center"/>
              <w:rPr>
                <w:rFonts w:ascii="arial" w:hAnsi="arial"/>
                <w:b/>
                <w:sz w:val="16"/>
              </w:rPr>
            </w:pPr>
            <w:r>
              <w:rPr>
                <w:rFonts w:ascii="arial" w:hAnsi="arial"/>
                <w:b/>
                <w:sz w:val="16"/>
              </w:rPr>
              <w:t>Grant Date</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3376" w:type="dxa"/>
            <w:gridSpan w:val="14"/>
            <w:tcBorders>
              <w:bottom w:val="single" w:sz="16" w:space="0" w:color="A41F35"/>
            </w:tcBorders>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6"/>
              </w:rPr>
            </w:pPr>
            <w:r>
              <w:rPr>
                <w:rFonts w:ascii="arial" w:hAnsi="arial"/>
                <w:b/>
                <w:sz w:val="16"/>
              </w:rPr>
              <w:t>Estimated Future Payouts</w:t>
            </w:r>
          </w:p>
          <w:p>
            <w:pPr>
              <w:pStyle w:val="TableContents"/>
              <w:bidi w:val="0"/>
              <w:spacing w:before="0" w:after="0"/>
              <w:jc w:val="center"/>
              <w:rPr>
                <w:rFonts w:ascii="arial" w:hAnsi="arial"/>
                <w:b/>
                <w:sz w:val="16"/>
              </w:rPr>
            </w:pPr>
            <w:r>
              <w:rPr>
                <w:rFonts w:ascii="arial" w:hAnsi="arial"/>
                <w:b/>
                <w:sz w:val="16"/>
              </w:rPr>
              <w:t>Under Non-Equity Incentive</w:t>
            </w:r>
          </w:p>
          <w:p>
            <w:pPr>
              <w:pStyle w:val="TableContents"/>
              <w:bidi w:val="0"/>
              <w:spacing w:before="0" w:after="20"/>
              <w:jc w:val="center"/>
              <w:rPr>
                <w:rFonts w:ascii="arial" w:hAnsi="arial"/>
                <w:b/>
                <w:sz w:val="16"/>
              </w:rPr>
            </w:pPr>
            <w:r>
              <w:rPr>
                <w:rFonts w:ascii="arial" w:hAnsi="arial"/>
                <w:b/>
                <w:sz w:val="16"/>
              </w:rPr>
              <w:t>Plan Awards(1)</w:t>
            </w:r>
          </w:p>
        </w:tc>
        <w:tc>
          <w:tcPr>
            <w:tcW w:w="120" w:type="dxa"/>
            <w:vMerge w:val="restart"/>
            <w:tcBorders>
              <w:bottom w:val="single" w:sz="16" w:space="0" w:color="A41F35"/>
            </w:tcBorders>
            <w:tcMar>
              <w:bottom w:w="28" w:type="dxa"/>
            </w:tcMar>
            <w:vAlign w:val="center"/>
          </w:tcPr>
          <w:p>
            <w:pPr>
              <w:pStyle w:val="TableContents"/>
              <w:bidi w:val="0"/>
              <w:spacing w:before="0" w:after="283"/>
              <w:jc w:val="left"/>
              <w:rPr/>
            </w:pPr>
            <w:r>
              <w:rPr/>
              <w:t>  </w:t>
            </w:r>
          </w:p>
        </w:tc>
        <w:tc>
          <w:tcPr>
            <w:tcW w:w="1145" w:type="dxa"/>
            <w:gridSpan w:val="4"/>
            <w:vMerge w:val="restart"/>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All Other</w:t>
              <w:br/>
              <w:t>Stock</w:t>
              <w:br/>
              <w:t>Awards:</w:t>
              <w:br/>
              <w:t>Number Of</w:t>
              <w:br/>
              <w:t>Shares of</w:t>
              <w:br/>
              <w:t>Stock or Units</w:t>
            </w:r>
          </w:p>
          <w:p>
            <w:pPr>
              <w:pStyle w:val="TableContents"/>
              <w:bidi w:val="0"/>
              <w:spacing w:before="0" w:after="20"/>
              <w:jc w:val="center"/>
              <w:rPr>
                <w:rFonts w:ascii="arial" w:hAnsi="arial"/>
                <w:b/>
                <w:sz w:val="16"/>
              </w:rPr>
            </w:pPr>
            <w:r>
              <w:rPr>
                <w:rFonts w:ascii="arial" w:hAnsi="arial"/>
                <w:b/>
                <w:sz w:val="16"/>
              </w:rPr>
              <w:t>(#)(2)</w:t>
            </w:r>
          </w:p>
        </w:tc>
        <w:tc>
          <w:tcPr>
            <w:tcW w:w="120" w:type="dxa"/>
            <w:vMerge w:val="restart"/>
            <w:tcBorders>
              <w:bottom w:val="single" w:sz="16" w:space="0" w:color="A41F35"/>
            </w:tcBorders>
            <w:tcMar>
              <w:bottom w:w="28" w:type="dxa"/>
            </w:tcMar>
            <w:vAlign w:val="center"/>
          </w:tcPr>
          <w:p>
            <w:pPr>
              <w:pStyle w:val="TableContents"/>
              <w:bidi w:val="0"/>
              <w:spacing w:before="0" w:after="283"/>
              <w:jc w:val="left"/>
              <w:rPr/>
            </w:pPr>
            <w:r>
              <w:rPr/>
              <w:t>  </w:t>
            </w:r>
          </w:p>
        </w:tc>
        <w:tc>
          <w:tcPr>
            <w:tcW w:w="890" w:type="dxa"/>
            <w:gridSpan w:val="4"/>
            <w:vMerge w:val="restart"/>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All Other</w:t>
              <w:br/>
              <w:t>Option</w:t>
              <w:br/>
              <w:t>Awards:</w:t>
              <w:br/>
              <w:t>Number Of</w:t>
              <w:br/>
              <w:t>Securities</w:t>
              <w:br/>
              <w:t>Underlying</w:t>
              <w:br/>
              <w:t>Options</w:t>
            </w:r>
          </w:p>
          <w:p>
            <w:pPr>
              <w:pStyle w:val="TableContents"/>
              <w:bidi w:val="0"/>
              <w:spacing w:before="0" w:after="20"/>
              <w:jc w:val="center"/>
              <w:rPr>
                <w:rFonts w:ascii="arial" w:hAnsi="arial"/>
                <w:b/>
                <w:sz w:val="16"/>
              </w:rPr>
            </w:pPr>
            <w:r>
              <w:rPr>
                <w:rFonts w:ascii="arial" w:hAnsi="arial"/>
                <w:b/>
                <w:sz w:val="16"/>
              </w:rPr>
              <w:t>(#)(3)</w:t>
            </w:r>
          </w:p>
        </w:tc>
        <w:tc>
          <w:tcPr>
            <w:tcW w:w="120" w:type="dxa"/>
            <w:vMerge w:val="restart"/>
            <w:tcBorders>
              <w:bottom w:val="single" w:sz="16" w:space="0" w:color="A41F35"/>
            </w:tcBorders>
            <w:tcMar>
              <w:bottom w:w="28" w:type="dxa"/>
            </w:tcMar>
            <w:vAlign w:val="center"/>
          </w:tcPr>
          <w:p>
            <w:pPr>
              <w:pStyle w:val="TableContents"/>
              <w:bidi w:val="0"/>
              <w:spacing w:before="0" w:after="283"/>
              <w:jc w:val="left"/>
              <w:rPr/>
            </w:pPr>
            <w:r>
              <w:rPr/>
              <w:t>  </w:t>
            </w:r>
          </w:p>
        </w:tc>
        <w:tc>
          <w:tcPr>
            <w:tcW w:w="876" w:type="dxa"/>
            <w:gridSpan w:val="4"/>
            <w:vMerge w:val="restart"/>
            <w:tcBorders>
              <w:bottom w:val="single" w:sz="16" w:space="0" w:color="A41F35"/>
            </w:tcBorders>
            <w:tcMar>
              <w:bottom w:w="40" w:type="dxa"/>
            </w:tcMar>
            <w:vAlign w:val="center"/>
          </w:tcPr>
          <w:p>
            <w:pPr>
              <w:pStyle w:val="TableContents"/>
              <w:bidi w:val="0"/>
              <w:spacing w:before="0" w:after="283"/>
              <w:jc w:val="center"/>
              <w:rPr>
                <w:b/>
              </w:rPr>
            </w:pPr>
            <w:r>
              <w:rPr>
                <w:b/>
              </w:rPr>
              <w:t>Exercise</w:t>
              <w:br/>
              <w:t>or Base</w:t>
              <w:br/>
              <w:t>Price Of</w:t>
              <w:br/>
              <w:t>Option</w:t>
              <w:br/>
              <w:t>Awards</w:t>
              <w:br/>
              <w:t>($/Sh)(4)</w:t>
            </w:r>
          </w:p>
        </w:tc>
        <w:tc>
          <w:tcPr>
            <w:tcW w:w="120" w:type="dxa"/>
            <w:vMerge w:val="restart"/>
            <w:tcBorders>
              <w:bottom w:val="single" w:sz="16" w:space="0" w:color="A41F35"/>
            </w:tcBorders>
            <w:tcMar>
              <w:bottom w:w="28" w:type="dxa"/>
            </w:tcMar>
            <w:vAlign w:val="center"/>
          </w:tcPr>
          <w:p>
            <w:pPr>
              <w:pStyle w:val="TableContents"/>
              <w:bidi w:val="0"/>
              <w:spacing w:before="0" w:after="283"/>
              <w:jc w:val="left"/>
              <w:rPr/>
            </w:pPr>
            <w:r>
              <w:rPr/>
              <w:t>  </w:t>
            </w:r>
          </w:p>
        </w:tc>
        <w:tc>
          <w:tcPr>
            <w:tcW w:w="1182" w:type="dxa"/>
            <w:gridSpan w:val="4"/>
            <w:vMerge w:val="restart"/>
            <w:tcBorders>
              <w:bottom w:val="single" w:sz="16" w:space="0" w:color="A41F35"/>
            </w:tcBorders>
            <w:tcMar>
              <w:bottom w:w="40" w:type="dxa"/>
            </w:tcMar>
            <w:vAlign w:val="center"/>
          </w:tcPr>
          <w:p>
            <w:pPr>
              <w:pStyle w:val="TableContents"/>
              <w:bidi w:val="0"/>
              <w:spacing w:before="0" w:after="0"/>
              <w:jc w:val="center"/>
              <w:rPr>
                <w:rFonts w:ascii="arial" w:hAnsi="arial"/>
                <w:b/>
                <w:sz w:val="16"/>
              </w:rPr>
            </w:pPr>
            <w:r>
              <w:rPr>
                <w:rFonts w:ascii="arial" w:hAnsi="arial"/>
                <w:b/>
                <w:sz w:val="16"/>
              </w:rPr>
              <w:t>Grant Date</w:t>
              <w:br/>
              <w:t>Fair Value</w:t>
            </w:r>
          </w:p>
          <w:p>
            <w:pPr>
              <w:pStyle w:val="TableContents"/>
              <w:bidi w:val="0"/>
              <w:spacing w:before="0" w:after="0"/>
              <w:jc w:val="center"/>
              <w:rPr>
                <w:rFonts w:ascii="arial" w:hAnsi="arial"/>
                <w:b/>
                <w:sz w:val="16"/>
              </w:rPr>
            </w:pPr>
            <w:r>
              <w:rPr>
                <w:rFonts w:ascii="arial" w:hAnsi="arial"/>
                <w:b/>
                <w:sz w:val="16"/>
              </w:rPr>
              <w:t>Of Stock</w:t>
            </w:r>
          </w:p>
          <w:p>
            <w:pPr>
              <w:pStyle w:val="TableContents"/>
              <w:bidi w:val="0"/>
              <w:spacing w:before="0" w:after="0"/>
              <w:jc w:val="center"/>
              <w:rPr>
                <w:rFonts w:ascii="arial" w:hAnsi="arial"/>
                <w:b/>
                <w:sz w:val="16"/>
              </w:rPr>
            </w:pPr>
            <w:r>
              <w:rPr>
                <w:rFonts w:ascii="arial" w:hAnsi="arial"/>
                <w:b/>
                <w:sz w:val="16"/>
              </w:rPr>
              <w:t>and Option</w:t>
            </w:r>
          </w:p>
          <w:p>
            <w:pPr>
              <w:pStyle w:val="TableContents"/>
              <w:bidi w:val="0"/>
              <w:spacing w:before="0" w:after="0"/>
              <w:jc w:val="center"/>
              <w:rPr>
                <w:rFonts w:ascii="arial" w:hAnsi="arial"/>
                <w:b/>
                <w:sz w:val="16"/>
              </w:rPr>
            </w:pPr>
            <w:r>
              <w:rPr>
                <w:rFonts w:ascii="arial" w:hAnsi="arial"/>
                <w:b/>
                <w:sz w:val="16"/>
              </w:rPr>
              <w:t>Awards</w:t>
            </w:r>
          </w:p>
          <w:p>
            <w:pPr>
              <w:pStyle w:val="TableContents"/>
              <w:bidi w:val="0"/>
              <w:spacing w:before="0" w:after="20"/>
              <w:jc w:val="center"/>
              <w:rPr>
                <w:rFonts w:ascii="arial" w:hAnsi="arial"/>
                <w:b/>
                <w:sz w:val="16"/>
              </w:rPr>
            </w:pPr>
            <w:r>
              <w:rPr>
                <w:rFonts w:ascii="arial" w:hAnsi="arial"/>
                <w:b/>
                <w:sz w:val="16"/>
              </w:rPr>
              <w:t>($)(5)</w:t>
            </w:r>
          </w:p>
        </w:tc>
      </w:tr>
      <w:tr>
        <w:trPr/>
        <w:tc>
          <w:tcPr>
            <w:tcW w:w="1154" w:type="dxa"/>
            <w:vMerge w:val="continue"/>
            <w:tcBorders>
              <w:bottom w:val="single" w:sz="16" w:space="0" w:color="A41F35"/>
            </w:tcBorders>
            <w:tcMar>
              <w:bottom w:w="40" w:type="dxa"/>
            </w:tcMar>
            <w:vAlign w:val="center"/>
          </w:tcPr>
          <w:p>
            <w:pPr>
              <w:pStyle w:val="Normal"/>
              <w:bidi w:val="0"/>
              <w:jc w:val="left"/>
              <w:rPr/>
            </w:pPr>
            <w:r>
              <w:rPr/>
            </w:r>
          </w:p>
        </w:tc>
        <w:tc>
          <w:tcPr>
            <w:tcW w:w="120" w:type="dxa"/>
            <w:vMerge w:val="continue"/>
            <w:tcBorders>
              <w:bottom w:val="single" w:sz="16" w:space="0" w:color="A41F35"/>
            </w:tcBorders>
            <w:tcMar>
              <w:bottom w:w="28" w:type="dxa"/>
            </w:tcMar>
            <w:vAlign w:val="center"/>
          </w:tcPr>
          <w:p>
            <w:pPr>
              <w:pStyle w:val="Normal"/>
              <w:bidi w:val="0"/>
              <w:jc w:val="left"/>
              <w:rPr/>
            </w:pPr>
            <w:r>
              <w:rPr/>
            </w:r>
          </w:p>
        </w:tc>
        <w:tc>
          <w:tcPr>
            <w:tcW w:w="922" w:type="dxa"/>
            <w:gridSpan w:val="4"/>
            <w:vMerge w:val="continue"/>
            <w:tcBorders>
              <w:bottom w:val="single" w:sz="16" w:space="0" w:color="A41F35"/>
            </w:tcBorders>
            <w:tcMar>
              <w:bottom w:w="40" w:type="dxa"/>
            </w:tcMar>
            <w:vAlign w:val="center"/>
          </w:tcPr>
          <w:p>
            <w:pPr>
              <w:pStyle w:val="Normal"/>
              <w:bidi w:val="0"/>
              <w:jc w:val="left"/>
              <w:rPr/>
            </w:pPr>
            <w:r>
              <w:rPr/>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7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Threshold</w:t>
              <w:br/>
              <w: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94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Target</w:t>
              <w:br/>
              <w:t>($)</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Maximum</w:t>
              <w:br/>
              <w:t>($)</w:t>
            </w:r>
          </w:p>
        </w:tc>
        <w:tc>
          <w:tcPr>
            <w:tcW w:w="120" w:type="dxa"/>
            <w:vMerge w:val="continue"/>
            <w:tcBorders>
              <w:bottom w:val="single" w:sz="16" w:space="0" w:color="A41F35"/>
            </w:tcBorders>
            <w:tcMar>
              <w:bottom w:w="28" w:type="dxa"/>
            </w:tcMar>
            <w:vAlign w:val="center"/>
          </w:tcPr>
          <w:p>
            <w:pPr>
              <w:pStyle w:val="Normal"/>
              <w:bidi w:val="0"/>
              <w:jc w:val="left"/>
              <w:rPr/>
            </w:pPr>
            <w:r>
              <w:rPr/>
            </w:r>
          </w:p>
        </w:tc>
        <w:tc>
          <w:tcPr>
            <w:tcW w:w="1145" w:type="dxa"/>
            <w:gridSpan w:val="4"/>
            <w:vMerge w:val="continue"/>
            <w:tcBorders>
              <w:bottom w:val="single" w:sz="16" w:space="0" w:color="A41F35"/>
            </w:tcBorders>
            <w:tcMar>
              <w:bottom w:w="40" w:type="dxa"/>
            </w:tcMar>
            <w:vAlign w:val="center"/>
          </w:tcPr>
          <w:p>
            <w:pPr>
              <w:pStyle w:val="Normal"/>
              <w:bidi w:val="0"/>
              <w:jc w:val="left"/>
              <w:rPr/>
            </w:pPr>
            <w:r>
              <w:rPr/>
            </w:r>
          </w:p>
        </w:tc>
        <w:tc>
          <w:tcPr>
            <w:tcW w:w="120" w:type="dxa"/>
            <w:vMerge w:val="continue"/>
            <w:tcBorders>
              <w:bottom w:val="single" w:sz="16" w:space="0" w:color="A41F35"/>
            </w:tcBorders>
            <w:tcMar>
              <w:bottom w:w="40" w:type="dxa"/>
            </w:tcMar>
            <w:vAlign w:val="center"/>
          </w:tcPr>
          <w:p>
            <w:pPr>
              <w:pStyle w:val="Normal"/>
              <w:bidi w:val="0"/>
              <w:jc w:val="left"/>
              <w:rPr/>
            </w:pPr>
            <w:r>
              <w:rPr/>
            </w:r>
          </w:p>
        </w:tc>
        <w:tc>
          <w:tcPr>
            <w:tcW w:w="890" w:type="dxa"/>
            <w:gridSpan w:val="4"/>
            <w:vMerge w:val="continue"/>
            <w:tcBorders>
              <w:bottom w:val="single" w:sz="16" w:space="0" w:color="A41F35"/>
            </w:tcBorders>
            <w:tcMar>
              <w:bottom w:w="28" w:type="dxa"/>
            </w:tcMar>
            <w:vAlign w:val="center"/>
          </w:tcPr>
          <w:p>
            <w:pPr>
              <w:pStyle w:val="Normal"/>
              <w:bidi w:val="0"/>
              <w:jc w:val="left"/>
              <w:rPr/>
            </w:pPr>
            <w:r>
              <w:rPr/>
            </w:r>
          </w:p>
        </w:tc>
        <w:tc>
          <w:tcPr>
            <w:tcW w:w="120" w:type="dxa"/>
            <w:vMerge w:val="continue"/>
            <w:tcBorders>
              <w:bottom w:val="single" w:sz="16" w:space="0" w:color="A41F35"/>
            </w:tcBorders>
            <w:tcMar>
              <w:bottom w:w="28" w:type="dxa"/>
            </w:tcMar>
            <w:vAlign w:val="center"/>
          </w:tcPr>
          <w:p>
            <w:pPr>
              <w:pStyle w:val="Normal"/>
              <w:bidi w:val="0"/>
              <w:jc w:val="left"/>
              <w:rPr/>
            </w:pPr>
            <w:r>
              <w:rPr/>
            </w:r>
          </w:p>
        </w:tc>
        <w:tc>
          <w:tcPr>
            <w:tcW w:w="876" w:type="dxa"/>
            <w:gridSpan w:val="4"/>
            <w:vMerge w:val="continue"/>
            <w:tcBorders>
              <w:bottom w:val="single" w:sz="16" w:space="0" w:color="A41F35"/>
            </w:tcBorders>
            <w:tcMar>
              <w:bottom w:w="40" w:type="dxa"/>
            </w:tcMar>
            <w:vAlign w:val="center"/>
          </w:tcPr>
          <w:p>
            <w:pPr>
              <w:pStyle w:val="Normal"/>
              <w:bidi w:val="0"/>
              <w:jc w:val="left"/>
              <w:rPr/>
            </w:pPr>
            <w:r>
              <w:rPr/>
            </w:r>
          </w:p>
        </w:tc>
        <w:tc>
          <w:tcPr>
            <w:tcW w:w="120" w:type="dxa"/>
            <w:vMerge w:val="continue"/>
            <w:tcBorders>
              <w:bottom w:val="single" w:sz="16" w:space="0" w:color="A41F35"/>
            </w:tcBorders>
            <w:tcMar>
              <w:bottom w:w="28" w:type="dxa"/>
            </w:tcMar>
            <w:vAlign w:val="center"/>
          </w:tcPr>
          <w:p>
            <w:pPr>
              <w:pStyle w:val="Normal"/>
              <w:bidi w:val="0"/>
              <w:jc w:val="left"/>
              <w:rPr/>
            </w:pPr>
            <w:r>
              <w:rPr/>
            </w:r>
          </w:p>
        </w:tc>
        <w:tc>
          <w:tcPr>
            <w:tcW w:w="1182" w:type="dxa"/>
            <w:gridSpan w:val="4"/>
            <w:vMerge w:val="continue"/>
            <w:tcBorders>
              <w:bottom w:val="single" w:sz="16" w:space="0" w:color="A41F35"/>
            </w:tcBorders>
            <w:tcMar>
              <w:bottom w:w="40" w:type="dxa"/>
            </w:tcMar>
            <w:vAlign w:val="center"/>
          </w:tcPr>
          <w:p>
            <w:pPr>
              <w:pStyle w:val="Normal"/>
              <w:bidi w:val="0"/>
              <w:jc w:val="left"/>
              <w:rPr/>
            </w:pPr>
            <w:r>
              <w:rPr/>
            </w:r>
          </w:p>
        </w:tc>
      </w:tr>
      <w:tr>
        <w:trPr/>
        <w:tc>
          <w:tcPr>
            <w:tcW w:w="1154" w:type="dxa"/>
            <w:tcBorders/>
            <w:shd w:fill="EFECE8" w:val="clear"/>
            <w:vAlign w:val="center"/>
          </w:tcPr>
          <w:p>
            <w:pPr>
              <w:pStyle w:val="TableContents"/>
              <w:bidi w:val="0"/>
              <w:spacing w:before="0" w:after="283"/>
              <w:jc w:val="left"/>
              <w:rPr>
                <w:sz w:val="4"/>
                <w:szCs w:val="4"/>
              </w:rPr>
            </w:pPr>
            <w:r>
              <w:rPr>
                <w:sz w:val="4"/>
                <w:szCs w:val="4"/>
              </w:rPr>
            </w:r>
          </w:p>
        </w:tc>
        <w:tc>
          <w:tcPr>
            <w:tcW w:w="1042" w:type="dxa"/>
            <w:gridSpan w:val="5"/>
            <w:tcBorders/>
            <w:shd w:fill="EFECE8" w:val="clear"/>
            <w:vAlign w:val="center"/>
          </w:tcPr>
          <w:p>
            <w:pPr>
              <w:pStyle w:val="TableContents"/>
              <w:bidi w:val="0"/>
              <w:spacing w:before="0" w:after="283"/>
              <w:jc w:val="left"/>
              <w:rPr>
                <w:sz w:val="4"/>
                <w:szCs w:val="4"/>
              </w:rPr>
            </w:pPr>
            <w:r>
              <w:rPr>
                <w:sz w:val="4"/>
                <w:szCs w:val="4"/>
              </w:rPr>
            </w:r>
          </w:p>
        </w:tc>
        <w:tc>
          <w:tcPr>
            <w:tcW w:w="1130"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1010" w:type="dxa"/>
            <w:gridSpan w:val="5"/>
            <w:tcBorders/>
            <w:shd w:fill="EFECE8" w:val="clear"/>
            <w:vAlign w:val="center"/>
          </w:tcPr>
          <w:p>
            <w:pPr>
              <w:pStyle w:val="TableContents"/>
              <w:bidi w:val="0"/>
              <w:spacing w:before="0" w:after="283"/>
              <w:jc w:val="left"/>
              <w:rPr>
                <w:sz w:val="4"/>
                <w:szCs w:val="4"/>
              </w:rPr>
            </w:pPr>
            <w:r>
              <w:rPr>
                <w:sz w:val="4"/>
                <w:szCs w:val="4"/>
              </w:rPr>
            </w:r>
          </w:p>
        </w:tc>
        <w:tc>
          <w:tcPr>
            <w:tcW w:w="996" w:type="dxa"/>
            <w:gridSpan w:val="5"/>
            <w:tcBorders/>
            <w:shd w:fill="EFECE8" w:val="clear"/>
            <w:vAlign w:val="center"/>
          </w:tcPr>
          <w:p>
            <w:pPr>
              <w:pStyle w:val="TableContents"/>
              <w:bidi w:val="0"/>
              <w:spacing w:before="0" w:after="283"/>
              <w:jc w:val="left"/>
              <w:rPr>
                <w:sz w:val="4"/>
                <w:szCs w:val="4"/>
              </w:rPr>
            </w:pPr>
            <w:r>
              <w:rPr>
                <w:sz w:val="4"/>
                <w:szCs w:val="4"/>
              </w:rPr>
            </w:r>
          </w:p>
        </w:tc>
        <w:tc>
          <w:tcPr>
            <w:tcW w:w="130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560,000</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700,000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1,400,000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82" w:type="dxa"/>
            <w:tcBorders/>
            <w:shd w:fill="EFECE8" w:val="clear"/>
            <w:vAlign w:val="center"/>
          </w:tcPr>
          <w:p>
            <w:pPr>
              <w:pStyle w:val="TableContents"/>
              <w:bidi w:val="0"/>
              <w:spacing w:before="0" w:after="283"/>
              <w:jc w:val="left"/>
              <w:rPr/>
            </w:pPr>
            <w:r>
              <w:rPr/>
              <w:t> </w:t>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2/23/2024</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56,645</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83.14</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3,040,613</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2/23/2024</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36,755</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3,055,811</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sz w:val="4"/>
                <w:szCs w:val="4"/>
              </w:rPr>
            </w:pPr>
            <w:r>
              <w:rPr>
                <w:sz w:val="4"/>
                <w:szCs w:val="4"/>
              </w:rPr>
            </w:r>
          </w:p>
        </w:tc>
        <w:tc>
          <w:tcPr>
            <w:tcW w:w="1042"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010" w:type="dxa"/>
            <w:gridSpan w:val="5"/>
            <w:tcBorders/>
            <w:vAlign w:val="center"/>
          </w:tcPr>
          <w:p>
            <w:pPr>
              <w:pStyle w:val="TableContents"/>
              <w:bidi w:val="0"/>
              <w:spacing w:before="0" w:after="283"/>
              <w:jc w:val="left"/>
              <w:rPr>
                <w:sz w:val="4"/>
                <w:szCs w:val="4"/>
              </w:rPr>
            </w:pPr>
            <w:r>
              <w:rPr>
                <w:sz w:val="4"/>
                <w:szCs w:val="4"/>
              </w:rPr>
            </w:r>
          </w:p>
        </w:tc>
        <w:tc>
          <w:tcPr>
            <w:tcW w:w="996" w:type="dxa"/>
            <w:gridSpan w:val="5"/>
            <w:tcBorders/>
            <w:vAlign w:val="center"/>
          </w:tcPr>
          <w:p>
            <w:pPr>
              <w:pStyle w:val="TableContents"/>
              <w:bidi w:val="0"/>
              <w:spacing w:before="0" w:after="283"/>
              <w:jc w:val="left"/>
              <w:rPr>
                <w:sz w:val="4"/>
                <w:szCs w:val="4"/>
              </w:rPr>
            </w:pPr>
            <w:r>
              <w:rPr>
                <w:sz w:val="4"/>
                <w:szCs w:val="4"/>
              </w:rPr>
            </w:r>
          </w:p>
        </w:tc>
        <w:tc>
          <w:tcPr>
            <w:tcW w:w="1302" w:type="dxa"/>
            <w:gridSpan w:val="5"/>
            <w:tcBorders/>
            <w:vAlign w:val="center"/>
          </w:tcPr>
          <w:p>
            <w:pPr>
              <w:pStyle w:val="TableContents"/>
              <w:bidi w:val="0"/>
              <w:spacing w:before="0" w:after="283"/>
              <w:jc w:val="left"/>
              <w:rPr>
                <w:sz w:val="4"/>
                <w:szCs w:val="4"/>
              </w:rPr>
            </w:pPr>
            <w:r>
              <w:rPr>
                <w:sz w:val="4"/>
                <w:szCs w:val="4"/>
              </w:rPr>
            </w:r>
          </w:p>
        </w:tc>
      </w:tr>
      <w:tr>
        <w:trPr/>
        <w:tc>
          <w:tcPr>
            <w:tcW w:w="1154" w:type="dxa"/>
            <w:vMerge w:val="restart"/>
            <w:tcBorders/>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12/9/2024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18,922</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69.84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869,748</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12/9/2024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12,463</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870,416</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tcBorders/>
            <w:shd w:fill="EFECE8" w:val="clear"/>
            <w:vAlign w:val="center"/>
          </w:tcPr>
          <w:p>
            <w:pPr>
              <w:pStyle w:val="TableContents"/>
              <w:bidi w:val="0"/>
              <w:spacing w:before="0" w:after="283"/>
              <w:jc w:val="left"/>
              <w:rPr>
                <w:sz w:val="4"/>
                <w:szCs w:val="4"/>
              </w:rPr>
            </w:pPr>
            <w:r>
              <w:rPr>
                <w:sz w:val="4"/>
                <w:szCs w:val="4"/>
              </w:rPr>
            </w:r>
          </w:p>
        </w:tc>
        <w:tc>
          <w:tcPr>
            <w:tcW w:w="1042" w:type="dxa"/>
            <w:gridSpan w:val="5"/>
            <w:tcBorders/>
            <w:shd w:fill="EFECE8" w:val="clear"/>
            <w:vAlign w:val="center"/>
          </w:tcPr>
          <w:p>
            <w:pPr>
              <w:pStyle w:val="TableContents"/>
              <w:bidi w:val="0"/>
              <w:spacing w:before="0" w:after="283"/>
              <w:jc w:val="left"/>
              <w:rPr>
                <w:sz w:val="4"/>
                <w:szCs w:val="4"/>
              </w:rPr>
            </w:pPr>
            <w:r>
              <w:rPr>
                <w:sz w:val="4"/>
                <w:szCs w:val="4"/>
              </w:rPr>
            </w:r>
          </w:p>
        </w:tc>
        <w:tc>
          <w:tcPr>
            <w:tcW w:w="1130"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1010" w:type="dxa"/>
            <w:gridSpan w:val="5"/>
            <w:tcBorders/>
            <w:shd w:fill="EFECE8" w:val="clear"/>
            <w:vAlign w:val="center"/>
          </w:tcPr>
          <w:p>
            <w:pPr>
              <w:pStyle w:val="TableContents"/>
              <w:bidi w:val="0"/>
              <w:spacing w:before="0" w:after="283"/>
              <w:jc w:val="left"/>
              <w:rPr>
                <w:sz w:val="4"/>
                <w:szCs w:val="4"/>
              </w:rPr>
            </w:pPr>
            <w:r>
              <w:rPr>
                <w:sz w:val="4"/>
                <w:szCs w:val="4"/>
              </w:rPr>
            </w:r>
          </w:p>
        </w:tc>
        <w:tc>
          <w:tcPr>
            <w:tcW w:w="996" w:type="dxa"/>
            <w:gridSpan w:val="5"/>
            <w:tcBorders/>
            <w:shd w:fill="EFECE8" w:val="clear"/>
            <w:vAlign w:val="center"/>
          </w:tcPr>
          <w:p>
            <w:pPr>
              <w:pStyle w:val="TableContents"/>
              <w:bidi w:val="0"/>
              <w:spacing w:before="0" w:after="283"/>
              <w:jc w:val="left"/>
              <w:rPr>
                <w:sz w:val="4"/>
                <w:szCs w:val="4"/>
              </w:rPr>
            </w:pPr>
            <w:r>
              <w:rPr>
                <w:sz w:val="4"/>
                <w:szCs w:val="4"/>
              </w:rPr>
            </w:r>
          </w:p>
        </w:tc>
        <w:tc>
          <w:tcPr>
            <w:tcW w:w="130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231,120</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288,900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577,800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2/23/2024</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18,690</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83.14</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1,003,249</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2/23/2024</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12,127</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1,008,239</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sz w:val="4"/>
                <w:szCs w:val="4"/>
              </w:rPr>
            </w:pPr>
            <w:r>
              <w:rPr>
                <w:sz w:val="4"/>
                <w:szCs w:val="4"/>
              </w:rPr>
            </w:r>
          </w:p>
        </w:tc>
        <w:tc>
          <w:tcPr>
            <w:tcW w:w="1042"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010" w:type="dxa"/>
            <w:gridSpan w:val="5"/>
            <w:tcBorders/>
            <w:vAlign w:val="center"/>
          </w:tcPr>
          <w:p>
            <w:pPr>
              <w:pStyle w:val="TableContents"/>
              <w:bidi w:val="0"/>
              <w:spacing w:before="0" w:after="283"/>
              <w:jc w:val="left"/>
              <w:rPr>
                <w:sz w:val="4"/>
                <w:szCs w:val="4"/>
              </w:rPr>
            </w:pPr>
            <w:r>
              <w:rPr>
                <w:sz w:val="4"/>
                <w:szCs w:val="4"/>
              </w:rPr>
            </w:r>
          </w:p>
        </w:tc>
        <w:tc>
          <w:tcPr>
            <w:tcW w:w="996" w:type="dxa"/>
            <w:gridSpan w:val="5"/>
            <w:tcBorders/>
            <w:vAlign w:val="center"/>
          </w:tcPr>
          <w:p>
            <w:pPr>
              <w:pStyle w:val="TableContents"/>
              <w:bidi w:val="0"/>
              <w:spacing w:before="0" w:after="283"/>
              <w:jc w:val="left"/>
              <w:rPr>
                <w:sz w:val="4"/>
                <w:szCs w:val="4"/>
              </w:rPr>
            </w:pPr>
            <w:r>
              <w:rPr>
                <w:sz w:val="4"/>
                <w:szCs w:val="4"/>
              </w:rPr>
            </w:r>
          </w:p>
        </w:tc>
        <w:tc>
          <w:tcPr>
            <w:tcW w:w="1302" w:type="dxa"/>
            <w:gridSpan w:val="5"/>
            <w:tcBorders/>
            <w:vAlign w:val="center"/>
          </w:tcPr>
          <w:p>
            <w:pPr>
              <w:pStyle w:val="TableContents"/>
              <w:bidi w:val="0"/>
              <w:spacing w:before="0" w:after="283"/>
              <w:jc w:val="left"/>
              <w:rPr>
                <w:sz w:val="4"/>
                <w:szCs w:val="4"/>
              </w:rPr>
            </w:pPr>
            <w:r>
              <w:rPr>
                <w:sz w:val="4"/>
                <w:szCs w:val="4"/>
              </w:rPr>
            </w:r>
          </w:p>
        </w:tc>
      </w:tr>
      <w:tr>
        <w:trPr/>
        <w:tc>
          <w:tcPr>
            <w:tcW w:w="1154" w:type="dxa"/>
            <w:vMerge w:val="restart"/>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156,600</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195,750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391,500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2/23/2024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17,632</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83.14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946,458</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2/23/2024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11,441</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951,205</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tcBorders/>
            <w:shd w:fill="EFECE8" w:val="clear"/>
            <w:vAlign w:val="center"/>
          </w:tcPr>
          <w:p>
            <w:pPr>
              <w:pStyle w:val="TableContents"/>
              <w:bidi w:val="0"/>
              <w:spacing w:before="0" w:after="283"/>
              <w:jc w:val="left"/>
              <w:rPr>
                <w:sz w:val="4"/>
                <w:szCs w:val="4"/>
              </w:rPr>
            </w:pPr>
            <w:r>
              <w:rPr>
                <w:sz w:val="4"/>
                <w:szCs w:val="4"/>
              </w:rPr>
            </w:r>
          </w:p>
        </w:tc>
        <w:tc>
          <w:tcPr>
            <w:tcW w:w="1042" w:type="dxa"/>
            <w:gridSpan w:val="5"/>
            <w:tcBorders/>
            <w:shd w:fill="EFECE8" w:val="clear"/>
            <w:vAlign w:val="center"/>
          </w:tcPr>
          <w:p>
            <w:pPr>
              <w:pStyle w:val="TableContents"/>
              <w:bidi w:val="0"/>
              <w:spacing w:before="0" w:after="283"/>
              <w:jc w:val="left"/>
              <w:rPr>
                <w:sz w:val="4"/>
                <w:szCs w:val="4"/>
              </w:rPr>
            </w:pPr>
            <w:r>
              <w:rPr>
                <w:sz w:val="4"/>
                <w:szCs w:val="4"/>
              </w:rPr>
            </w:r>
          </w:p>
        </w:tc>
        <w:tc>
          <w:tcPr>
            <w:tcW w:w="1130" w:type="dxa"/>
            <w:gridSpan w:val="5"/>
            <w:tcBorders/>
            <w:shd w:fill="EFECE8" w:val="clear"/>
            <w:vAlign w:val="center"/>
          </w:tcPr>
          <w:p>
            <w:pPr>
              <w:pStyle w:val="TableContents"/>
              <w:bidi w:val="0"/>
              <w:spacing w:before="0" w:after="283"/>
              <w:jc w:val="left"/>
              <w:rPr>
                <w:sz w:val="4"/>
                <w:szCs w:val="4"/>
              </w:rPr>
            </w:pPr>
            <w:r>
              <w:rPr>
                <w:sz w:val="4"/>
                <w:szCs w:val="4"/>
              </w:rPr>
            </w:r>
          </w:p>
        </w:tc>
        <w:tc>
          <w:tcPr>
            <w:tcW w:w="1063" w:type="dxa"/>
            <w:gridSpan w:val="5"/>
            <w:tcBorders/>
            <w:shd w:fill="EFECE8" w:val="clear"/>
            <w:vAlign w:val="center"/>
          </w:tcPr>
          <w:p>
            <w:pPr>
              <w:pStyle w:val="TableContents"/>
              <w:bidi w:val="0"/>
              <w:spacing w:before="0" w:after="283"/>
              <w:jc w:val="left"/>
              <w:rPr>
                <w:sz w:val="4"/>
                <w:szCs w:val="4"/>
              </w:rPr>
            </w:pPr>
            <w:r>
              <w:rPr>
                <w:sz w:val="4"/>
                <w:szCs w:val="4"/>
              </w:rPr>
            </w:r>
          </w:p>
        </w:tc>
        <w:tc>
          <w:tcPr>
            <w:tcW w:w="1243" w:type="dxa"/>
            <w:gridSpan w:val="5"/>
            <w:tcBorders/>
            <w:shd w:fill="EFECE8" w:val="clear"/>
            <w:vAlign w:val="center"/>
          </w:tcPr>
          <w:p>
            <w:pPr>
              <w:pStyle w:val="TableContents"/>
              <w:bidi w:val="0"/>
              <w:spacing w:before="0" w:after="283"/>
              <w:jc w:val="left"/>
              <w:rPr>
                <w:sz w:val="4"/>
                <w:szCs w:val="4"/>
              </w:rPr>
            </w:pPr>
            <w:r>
              <w:rPr>
                <w:sz w:val="4"/>
                <w:szCs w:val="4"/>
              </w:rPr>
            </w:r>
          </w:p>
        </w:tc>
        <w:tc>
          <w:tcPr>
            <w:tcW w:w="1265" w:type="dxa"/>
            <w:gridSpan w:val="5"/>
            <w:tcBorders/>
            <w:shd w:fill="EFECE8" w:val="clear"/>
            <w:vAlign w:val="center"/>
          </w:tcPr>
          <w:p>
            <w:pPr>
              <w:pStyle w:val="TableContents"/>
              <w:bidi w:val="0"/>
              <w:spacing w:before="0" w:after="283"/>
              <w:jc w:val="left"/>
              <w:rPr>
                <w:sz w:val="4"/>
                <w:szCs w:val="4"/>
              </w:rPr>
            </w:pPr>
            <w:r>
              <w:rPr>
                <w:sz w:val="4"/>
                <w:szCs w:val="4"/>
              </w:rPr>
            </w:r>
          </w:p>
        </w:tc>
        <w:tc>
          <w:tcPr>
            <w:tcW w:w="1010" w:type="dxa"/>
            <w:gridSpan w:val="5"/>
            <w:tcBorders/>
            <w:shd w:fill="EFECE8" w:val="clear"/>
            <w:vAlign w:val="center"/>
          </w:tcPr>
          <w:p>
            <w:pPr>
              <w:pStyle w:val="TableContents"/>
              <w:bidi w:val="0"/>
              <w:spacing w:before="0" w:after="283"/>
              <w:jc w:val="left"/>
              <w:rPr>
                <w:sz w:val="4"/>
                <w:szCs w:val="4"/>
              </w:rPr>
            </w:pPr>
            <w:r>
              <w:rPr>
                <w:sz w:val="4"/>
                <w:szCs w:val="4"/>
              </w:rPr>
            </w:r>
          </w:p>
        </w:tc>
        <w:tc>
          <w:tcPr>
            <w:tcW w:w="996" w:type="dxa"/>
            <w:gridSpan w:val="5"/>
            <w:tcBorders/>
            <w:shd w:fill="EFECE8" w:val="clear"/>
            <w:vAlign w:val="center"/>
          </w:tcPr>
          <w:p>
            <w:pPr>
              <w:pStyle w:val="TableContents"/>
              <w:bidi w:val="0"/>
              <w:spacing w:before="0" w:after="283"/>
              <w:jc w:val="left"/>
              <w:rPr>
                <w:sz w:val="4"/>
                <w:szCs w:val="4"/>
              </w:rPr>
            </w:pPr>
            <w:r>
              <w:rPr>
                <w:sz w:val="4"/>
                <w:szCs w:val="4"/>
              </w:rPr>
            </w:r>
          </w:p>
        </w:tc>
        <w:tc>
          <w:tcPr>
            <w:tcW w:w="130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144,000</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180,000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360,000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68" w:type="dxa"/>
            <w:tcBorders/>
            <w:shd w:fill="EFECE8" w:val="clear"/>
            <w:vAlign w:val="center"/>
          </w:tcPr>
          <w:p>
            <w:pPr>
              <w:pStyle w:val="TableContents"/>
              <w:bidi w:val="0"/>
              <w:spacing w:before="0" w:after="283"/>
              <w:jc w:val="right"/>
              <w:rPr/>
            </w:pPr>
            <w:r>
              <w:rPr/>
              <w:t>—</w:t>
            </w:r>
          </w:p>
        </w:tc>
        <w:tc>
          <w:tcPr>
            <w:tcW w:w="234"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68" w:type="dxa"/>
            <w:tcBorders/>
            <w:shd w:fill="EFECE8" w:val="clear"/>
            <w:vAlign w:val="center"/>
          </w:tcPr>
          <w:p>
            <w:pPr>
              <w:pStyle w:val="TableContents"/>
              <w:bidi w:val="0"/>
              <w:spacing w:before="0" w:after="283"/>
              <w:jc w:val="left"/>
              <w:rPr/>
            </w:pPr>
            <w:r>
              <w:rPr/>
              <w:t> </w:t>
            </w:r>
          </w:p>
        </w:tc>
        <w:tc>
          <w:tcPr>
            <w:tcW w:w="907"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80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83" w:type="dxa"/>
            <w:tcBorders/>
            <w:shd w:fill="EFECE8" w:val="clear"/>
            <w:vAlign w:val="center"/>
          </w:tcPr>
          <w:p>
            <w:pPr>
              <w:pStyle w:val="TableContents"/>
              <w:bidi w:val="0"/>
              <w:spacing w:before="0" w:after="283"/>
              <w:jc w:val="left"/>
              <w:rPr/>
            </w:pPr>
            <w:r>
              <w:rPr/>
              <w:t> </w:t>
            </w:r>
          </w:p>
        </w:tc>
        <w:tc>
          <w:tcPr>
            <w:tcW w:w="946" w:type="dxa"/>
            <w:tcBorders/>
            <w:shd w:fill="EFECE8" w:val="clear"/>
            <w:vAlign w:val="center"/>
          </w:tcPr>
          <w:p>
            <w:pPr>
              <w:pStyle w:val="TableContents"/>
              <w:bidi w:val="0"/>
              <w:spacing w:before="0" w:after="283"/>
              <w:jc w:val="right"/>
              <w:rPr/>
            </w:pPr>
            <w:r>
              <w:rPr/>
              <w:t>—</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64" w:type="dxa"/>
            <w:tcBorders/>
            <w:shd w:fill="EFECE8" w:val="clear"/>
            <w:vAlign w:val="center"/>
          </w:tcPr>
          <w:p>
            <w:pPr>
              <w:pStyle w:val="TableContents"/>
              <w:bidi w:val="0"/>
              <w:spacing w:before="0" w:after="283"/>
              <w:jc w:val="left"/>
              <w:rPr/>
            </w:pPr>
            <w:r>
              <w:rPr/>
              <w:t> </w:t>
            </w:r>
          </w:p>
        </w:tc>
        <w:tc>
          <w:tcPr>
            <w:tcW w:w="735" w:type="dxa"/>
            <w:tcBorders/>
            <w:shd w:fill="EFECE8" w:val="clear"/>
            <w:vAlign w:val="center"/>
          </w:tcPr>
          <w:p>
            <w:pPr>
              <w:pStyle w:val="TableContents"/>
              <w:bidi w:val="0"/>
              <w:spacing w:before="0" w:after="283"/>
              <w:jc w:val="right"/>
              <w:rPr/>
            </w:pPr>
            <w:r>
              <w:rPr/>
              <w:t>—</w:t>
            </w:r>
          </w:p>
        </w:tc>
        <w:tc>
          <w:tcPr>
            <w:tcW w:w="2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8"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82" w:type="dxa"/>
            <w:tcBorders/>
            <w:shd w:fill="EFECE8" w:val="clear"/>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sz w:val="4"/>
                <w:szCs w:val="4"/>
              </w:rPr>
            </w:pPr>
            <w:r>
              <w:rPr>
                <w:sz w:val="4"/>
                <w:szCs w:val="4"/>
              </w:rPr>
            </w:r>
          </w:p>
        </w:tc>
        <w:tc>
          <w:tcPr>
            <w:tcW w:w="1042"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010" w:type="dxa"/>
            <w:gridSpan w:val="5"/>
            <w:tcBorders/>
            <w:vAlign w:val="center"/>
          </w:tcPr>
          <w:p>
            <w:pPr>
              <w:pStyle w:val="TableContents"/>
              <w:bidi w:val="0"/>
              <w:spacing w:before="0" w:after="283"/>
              <w:jc w:val="left"/>
              <w:rPr>
                <w:sz w:val="4"/>
                <w:szCs w:val="4"/>
              </w:rPr>
            </w:pPr>
            <w:r>
              <w:rPr>
                <w:sz w:val="4"/>
                <w:szCs w:val="4"/>
              </w:rPr>
            </w:r>
          </w:p>
        </w:tc>
        <w:tc>
          <w:tcPr>
            <w:tcW w:w="996" w:type="dxa"/>
            <w:gridSpan w:val="5"/>
            <w:tcBorders/>
            <w:vAlign w:val="center"/>
          </w:tcPr>
          <w:p>
            <w:pPr>
              <w:pStyle w:val="TableContents"/>
              <w:bidi w:val="0"/>
              <w:spacing w:before="0" w:after="283"/>
              <w:jc w:val="left"/>
              <w:rPr>
                <w:sz w:val="4"/>
                <w:szCs w:val="4"/>
              </w:rPr>
            </w:pPr>
            <w:r>
              <w:rPr>
                <w:sz w:val="4"/>
                <w:szCs w:val="4"/>
              </w:rPr>
            </w:r>
          </w:p>
        </w:tc>
        <w:tc>
          <w:tcPr>
            <w:tcW w:w="1302" w:type="dxa"/>
            <w:gridSpan w:val="5"/>
            <w:tcBorders/>
            <w:vAlign w:val="center"/>
          </w:tcPr>
          <w:p>
            <w:pPr>
              <w:pStyle w:val="TableContents"/>
              <w:bidi w:val="0"/>
              <w:spacing w:before="0" w:after="283"/>
              <w:jc w:val="left"/>
              <w:rPr>
                <w:sz w:val="4"/>
                <w:szCs w:val="4"/>
              </w:rPr>
            </w:pPr>
            <w:r>
              <w:rPr>
                <w:sz w:val="4"/>
                <w:szCs w:val="4"/>
              </w:rPr>
            </w:r>
          </w:p>
        </w:tc>
      </w:tr>
      <w:tr>
        <w:trPr/>
        <w:tc>
          <w:tcPr>
            <w:tcW w:w="1154" w:type="dxa"/>
            <w:vMerge w:val="restart"/>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228,960</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286,200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572,400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2/23/2024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18,690</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83.14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1,003,249</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2/23/2024</w:t>
            </w:r>
          </w:p>
        </w:tc>
        <w:tc>
          <w:tcPr>
            <w:tcW w:w="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12,127</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1,008,239</w:t>
            </w:r>
          </w:p>
        </w:tc>
        <w:tc>
          <w:tcPr>
            <w:tcW w:w="82" w:type="dxa"/>
            <w:tcBorders/>
            <w:vAlign w:val="center"/>
          </w:tcPr>
          <w:p>
            <w:pPr>
              <w:pStyle w:val="TableContents"/>
              <w:bidi w:val="0"/>
              <w:spacing w:before="0" w:after="283"/>
              <w:jc w:val="left"/>
              <w:rPr>
                <w:sz w:val="4"/>
                <w:szCs w:val="4"/>
              </w:rPr>
            </w:pPr>
            <w:r>
              <w:rPr>
                <w:sz w:val="4"/>
                <w:szCs w:val="4"/>
              </w:rPr>
            </w:r>
          </w:p>
        </w:tc>
      </w:tr>
      <w:tr>
        <w:trPr/>
        <w:tc>
          <w:tcPr>
            <w:tcW w:w="1154"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568" w:type="dxa"/>
            <w:tcBorders>
              <w:bottom w:val="single" w:sz="8" w:space="0" w:color="A41F35"/>
            </w:tcBorders>
            <w:tcMar>
              <w:bottom w:w="40" w:type="dxa"/>
            </w:tcMar>
            <w:vAlign w:val="center"/>
          </w:tcPr>
          <w:p>
            <w:pPr>
              <w:pStyle w:val="TableContents"/>
              <w:bidi w:val="0"/>
              <w:spacing w:before="0" w:after="283"/>
              <w:jc w:val="right"/>
              <w:rPr/>
            </w:pPr>
            <w:r>
              <w:rPr/>
              <w:t>—</w:t>
            </w:r>
          </w:p>
        </w:tc>
        <w:tc>
          <w:tcPr>
            <w:tcW w:w="234" w:type="dxa"/>
            <w:tcBorders>
              <w:bottom w:val="single" w:sz="8" w:space="0" w:color="A41F35"/>
            </w:tcBorders>
            <w:tcMar>
              <w:bottom w:w="40" w:type="dxa"/>
            </w:tcMar>
            <w:vAlign w:val="center"/>
          </w:tcPr>
          <w:p>
            <w:pPr>
              <w:pStyle w:val="TableContents"/>
              <w:bidi w:val="0"/>
              <w:spacing w:before="0" w:after="283"/>
              <w:jc w:val="left"/>
              <w:rPr/>
            </w:pPr>
            <w:r>
              <w:rPr/>
              <w:t>(6)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8" w:type="dxa"/>
            <w:tcBorders>
              <w:bottom w:val="single" w:sz="8" w:space="0" w:color="A41F35"/>
            </w:tcBorders>
            <w:tcMar>
              <w:bottom w:w="28" w:type="dxa"/>
            </w:tcMar>
            <w:vAlign w:val="center"/>
          </w:tcPr>
          <w:p>
            <w:pPr>
              <w:pStyle w:val="TableContents"/>
              <w:bidi w:val="0"/>
              <w:spacing w:before="0" w:after="283"/>
              <w:jc w:val="left"/>
              <w:rPr/>
            </w:pPr>
            <w:r>
              <w:rPr/>
              <w:t> </w:t>
            </w:r>
          </w:p>
        </w:tc>
        <w:tc>
          <w:tcPr>
            <w:tcW w:w="68" w:type="dxa"/>
            <w:tcBorders>
              <w:bottom w:val="single" w:sz="8" w:space="0" w:color="A41F35"/>
            </w:tcBorders>
            <w:tcMar>
              <w:bottom w:w="40" w:type="dxa"/>
            </w:tcMar>
            <w:vAlign w:val="center"/>
          </w:tcPr>
          <w:p>
            <w:pPr>
              <w:pStyle w:val="TableContents"/>
              <w:bidi w:val="0"/>
              <w:spacing w:before="0" w:after="283"/>
              <w:jc w:val="left"/>
              <w:rPr/>
            </w:pPr>
            <w:r>
              <w:rPr/>
              <w:t> </w:t>
            </w:r>
          </w:p>
        </w:tc>
        <w:tc>
          <w:tcPr>
            <w:tcW w:w="907" w:type="dxa"/>
            <w:tcBorders>
              <w:bottom w:val="single" w:sz="8" w:space="0" w:color="A41F35"/>
            </w:tcBorders>
            <w:tcMar>
              <w:bottom w:w="40" w:type="dxa"/>
            </w:tcMar>
            <w:vAlign w:val="center"/>
          </w:tcPr>
          <w:p>
            <w:pPr>
              <w:pStyle w:val="TableContents"/>
              <w:bidi w:val="0"/>
              <w:spacing w:before="0" w:after="283"/>
              <w:jc w:val="right"/>
              <w:rPr/>
            </w:pPr>
            <w:r>
              <w:rPr/>
              <w:t>—</w:t>
            </w:r>
          </w:p>
        </w:tc>
        <w:tc>
          <w:tcPr>
            <w:tcW w:w="27"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800" w:type="dxa"/>
            <w:tcBorders>
              <w:bottom w:val="single" w:sz="8" w:space="0" w:color="A41F35"/>
            </w:tcBorders>
            <w:tcMar>
              <w:bottom w:w="40" w:type="dxa"/>
            </w:tcMar>
            <w:vAlign w:val="center"/>
          </w:tcPr>
          <w:p>
            <w:pPr>
              <w:pStyle w:val="TableContents"/>
              <w:bidi w:val="0"/>
              <w:spacing w:before="0" w:after="283"/>
              <w:jc w:val="right"/>
              <w:rPr/>
            </w:pPr>
            <w:r>
              <w:rPr/>
              <w:t>—</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3" w:type="dxa"/>
            <w:tcBorders>
              <w:bottom w:val="single" w:sz="8" w:space="0" w:color="A41F35"/>
            </w:tcBorders>
            <w:tcMar>
              <w:bottom w:w="28" w:type="dxa"/>
            </w:tcMar>
            <w:vAlign w:val="center"/>
          </w:tcPr>
          <w:p>
            <w:pPr>
              <w:pStyle w:val="TableContents"/>
              <w:bidi w:val="0"/>
              <w:spacing w:before="0" w:after="283"/>
              <w:jc w:val="left"/>
              <w:rPr/>
            </w:pPr>
            <w:r>
              <w:rPr/>
              <w:t> </w:t>
            </w:r>
          </w:p>
        </w:tc>
        <w:tc>
          <w:tcPr>
            <w:tcW w:w="83" w:type="dxa"/>
            <w:tcBorders>
              <w:bottom w:val="single" w:sz="8" w:space="0" w:color="A41F35"/>
            </w:tcBorders>
            <w:tcMar>
              <w:bottom w:w="40" w:type="dxa"/>
            </w:tcMar>
            <w:vAlign w:val="center"/>
          </w:tcPr>
          <w:p>
            <w:pPr>
              <w:pStyle w:val="TableContents"/>
              <w:bidi w:val="0"/>
              <w:spacing w:before="0" w:after="283"/>
              <w:jc w:val="left"/>
              <w:rPr/>
            </w:pPr>
            <w:r>
              <w:rPr/>
              <w:t> </w:t>
            </w:r>
          </w:p>
        </w:tc>
        <w:tc>
          <w:tcPr>
            <w:tcW w:w="946" w:type="dxa"/>
            <w:tcBorders>
              <w:bottom w:val="single" w:sz="8" w:space="0" w:color="A41F35"/>
            </w:tcBorders>
            <w:tcMar>
              <w:bottom w:w="40" w:type="dxa"/>
            </w:tcMar>
            <w:vAlign w:val="center"/>
          </w:tcPr>
          <w:p>
            <w:pPr>
              <w:pStyle w:val="TableContents"/>
              <w:bidi w:val="0"/>
              <w:spacing w:before="0" w:after="283"/>
              <w:jc w:val="right"/>
              <w:rPr/>
            </w:pPr>
            <w:r>
              <w:rPr/>
              <w:t>—</w:t>
            </w:r>
          </w:p>
        </w:tc>
        <w:tc>
          <w:tcPr>
            <w:tcW w:w="3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4" w:type="dxa"/>
            <w:tcBorders>
              <w:bottom w:val="single" w:sz="8" w:space="0" w:color="A41F35"/>
            </w:tcBorders>
            <w:tcMar>
              <w:bottom w:w="28" w:type="dxa"/>
            </w:tcMar>
            <w:vAlign w:val="center"/>
          </w:tcPr>
          <w:p>
            <w:pPr>
              <w:pStyle w:val="TableContents"/>
              <w:bidi w:val="0"/>
              <w:spacing w:before="0" w:after="283"/>
              <w:jc w:val="left"/>
              <w:rPr/>
            </w:pPr>
            <w:r>
              <w:rPr/>
              <w:t> </w:t>
            </w:r>
          </w:p>
        </w:tc>
        <w:tc>
          <w:tcPr>
            <w:tcW w:w="64" w:type="dxa"/>
            <w:tcBorders>
              <w:bottom w:val="single" w:sz="8" w:space="0" w:color="A41F35"/>
            </w:tcBorders>
            <w:tcMar>
              <w:bottom w:w="40" w:type="dxa"/>
            </w:tcMar>
            <w:vAlign w:val="center"/>
          </w:tcPr>
          <w:p>
            <w:pPr>
              <w:pStyle w:val="TableContents"/>
              <w:bidi w:val="0"/>
              <w:spacing w:before="0" w:after="283"/>
              <w:jc w:val="left"/>
              <w:rPr/>
            </w:pPr>
            <w:r>
              <w:rPr/>
              <w:t> </w:t>
            </w:r>
          </w:p>
        </w:tc>
        <w:tc>
          <w:tcPr>
            <w:tcW w:w="735" w:type="dxa"/>
            <w:tcBorders>
              <w:bottom w:val="single" w:sz="8" w:space="0" w:color="A41F35"/>
            </w:tcBorders>
            <w:tcMar>
              <w:bottom w:w="40" w:type="dxa"/>
            </w:tcMar>
            <w:vAlign w:val="center"/>
          </w:tcPr>
          <w:p>
            <w:pPr>
              <w:pStyle w:val="TableContents"/>
              <w:bidi w:val="0"/>
              <w:spacing w:before="0" w:after="283"/>
              <w:jc w:val="right"/>
              <w:rPr/>
            </w:pPr>
            <w:r>
              <w:rPr/>
              <w:t>—</w:t>
            </w:r>
          </w:p>
        </w:tc>
        <w:tc>
          <w:tcPr>
            <w:tcW w:w="27"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74" w:type="dxa"/>
            <w:tcBorders>
              <w:bottom w:val="single" w:sz="8" w:space="0" w:color="A41F35"/>
            </w:tcBorders>
            <w:tcMar>
              <w:bottom w:w="28" w:type="dxa"/>
            </w:tcMar>
            <w:vAlign w:val="center"/>
          </w:tcPr>
          <w:p>
            <w:pPr>
              <w:pStyle w:val="TableContents"/>
              <w:bidi w:val="0"/>
              <w:spacing w:before="0" w:after="283"/>
              <w:jc w:val="left"/>
              <w:rPr/>
            </w:pPr>
            <w:r>
              <w:rPr/>
              <w:t> </w:t>
            </w:r>
          </w:p>
        </w:tc>
        <w:tc>
          <w:tcPr>
            <w:tcW w:w="74" w:type="dxa"/>
            <w:tcBorders>
              <w:bottom w:val="single" w:sz="8" w:space="0" w:color="A41F35"/>
            </w:tcBorders>
            <w:tcMar>
              <w:bottom w:w="40" w:type="dxa"/>
            </w:tcMar>
            <w:vAlign w:val="center"/>
          </w:tcPr>
          <w:p>
            <w:pPr>
              <w:pStyle w:val="TableContents"/>
              <w:bidi w:val="0"/>
              <w:spacing w:before="0" w:after="283"/>
              <w:jc w:val="left"/>
              <w:rPr/>
            </w:pPr>
            <w:r>
              <w:rPr/>
              <w:t> </w:t>
            </w:r>
          </w:p>
        </w:tc>
        <w:tc>
          <w:tcPr>
            <w:tcW w:w="698" w:type="dxa"/>
            <w:tcBorders>
              <w:bottom w:val="single" w:sz="8" w:space="0" w:color="A41F35"/>
            </w:tcBorders>
            <w:tcMar>
              <w:bottom w:w="40" w:type="dxa"/>
            </w:tcMar>
            <w:vAlign w:val="center"/>
          </w:tcPr>
          <w:p>
            <w:pPr>
              <w:pStyle w:val="TableContents"/>
              <w:bidi w:val="0"/>
              <w:spacing w:before="0" w:after="283"/>
              <w:jc w:val="right"/>
              <w:rPr/>
            </w:pPr>
            <w:r>
              <w:rPr/>
              <w:t>—</w:t>
            </w:r>
          </w:p>
        </w:tc>
        <w:tc>
          <w:tcPr>
            <w:tcW w:w="30"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2,606,925</w:t>
            </w:r>
          </w:p>
        </w:tc>
        <w:tc>
          <w:tcPr>
            <w:tcW w:w="82"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16"/>
              </w:rPr>
            </w:pPr>
            <w:r>
              <w:rPr>
                <w:rFonts w:ascii="arial" w:hAnsi="arial"/>
                <w:sz w:val="16"/>
              </w:rPr>
              <w:t xml:space="preserve">Amounts represent the threshold, target and maximum annual cash bonus opportunities by our named executive officers under our annual bonus program. See “Compensation Discussion and Analysis — Annual Bonuses” above for additional details. Mr. Hernandez commenced employment with us in December 2024 and was therefore not eligible for an annual bonus for 2024. The actual amounts paid to our named executive officers under our annual bonus program for 2024 are set forth in the Non-Equity Incentive Plan Compensation of the Summary Compensation Table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0"/>
              <w:jc w:val="left"/>
              <w:rPr>
                <w:rFonts w:ascii="arial" w:hAnsi="arial"/>
                <w:sz w:val="16"/>
              </w:rPr>
            </w:pPr>
            <w:r>
              <w:rPr>
                <w:rFonts w:ascii="arial" w:hAnsi="arial"/>
                <w:sz w:val="16"/>
              </w:rPr>
              <w:t xml:space="preserve">Except as noted in footnote 6 below, amounts represent the number of RSUs granted to our named executive officers in 2024. See “Compensation Discussion and Analysis — Equity Incentive Awards” above for additional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16"/>
              </w:rPr>
            </w:pPr>
            <w:r>
              <w:rPr>
                <w:rFonts w:ascii="arial" w:hAnsi="arial"/>
                <w:sz w:val="16"/>
              </w:rPr>
              <w:t xml:space="preserve">Except as noted in footnote 6 below, amounts represent the number of shares of our common stock subject to stock options granted to our named executive officers in 2024. See “Compensation Discussion and Analysis — Equity Incentive Awards” above for additional details.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305"/>
        <w:gridCol w:w="7910"/>
      </w:tblGrid>
      <w:tr>
        <w:trPr/>
        <w:tc>
          <w:tcPr>
            <w:tcW w:w="30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spacing w:before="0" w:after="0"/>
              <w:jc w:val="left"/>
              <w:rPr>
                <w:rFonts w:ascii="arial" w:hAnsi="arial"/>
                <w:sz w:val="16"/>
              </w:rPr>
            </w:pPr>
            <w:r>
              <w:rPr>
                <w:rFonts w:ascii="arial" w:hAnsi="arial"/>
                <w:sz w:val="16"/>
              </w:rPr>
              <w:t xml:space="preserve">Amounts represent the exercise price for the stock options granted to our named executive officers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left"/>
              <w:rPr>
                <w:rFonts w:ascii="arial" w:hAnsi="arial"/>
                <w:sz w:val="16"/>
              </w:rPr>
            </w:pPr>
            <w:r>
              <w:rPr>
                <w:rFonts w:ascii="arial" w:hAnsi="arial"/>
                <w:sz w:val="16"/>
              </w:rPr>
              <w:t xml:space="preserve">Except as noted in footnote 6 below, these amounts represent the grant date fair value of RSUs or stock options, as applicable, granted in 2024, determined in accordance with FASB ASC Topic 718, disregarding the effect of forfeitures. These amounts do not represent the actual amounts paid to or realized by the named executive officer for these awards during 2024. For a more detailed description of the assumptions used for purposes of determining grant date fair value see Note 10 to the consolidated financial statements set forth in our Annual Report on Form 10-K for the year ended December 31, 2024. For RSUs, the grant date fair value was calculated by multiplying the closing price of the underlying shares of our common stock on the date of grant by the number of RSUs granted.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36</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0"/>
              <w:jc w:val="left"/>
              <w:rPr>
                <w:rFonts w:ascii="arial" w:hAnsi="arial"/>
                <w:sz w:val="16"/>
              </w:rPr>
            </w:pPr>
            <w:r>
              <w:rPr>
                <w:rFonts w:ascii="arial" w:hAnsi="arial"/>
                <w:sz w:val="16"/>
              </w:rPr>
              <w:t xml:space="preserve">Amount in this row for Mr. Gordon represents the incremental fair value of certain of Mr. Gordon’s RSU and stock option awards resulting from the modifications of the awards in connection with his transition and separation from employment, as discussed in more detail in footnotes 2 and 3 to the Summary Compensation Table.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Outstanding Equity Awards at 2024 Year-End </w:t>
      </w:r>
    </w:p>
    <w:p>
      <w:pPr>
        <w:pStyle w:val="TextBody"/>
        <w:bidi w:val="0"/>
        <w:spacing w:before="120" w:after="0"/>
        <w:jc w:val="left"/>
        <w:rPr>
          <w:rFonts w:ascii="arial" w:hAnsi="arial"/>
          <w:sz w:val="18"/>
        </w:rPr>
      </w:pPr>
      <w:r>
        <w:rPr>
          <w:rFonts w:ascii="arial" w:hAnsi="arial"/>
          <w:sz w:val="18"/>
        </w:rPr>
        <w:t xml:space="preserve">The following table sets forth information concerning outstanding equity awards held by each of our named executive officers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3"/>
        <w:gridCol w:w="120"/>
        <w:gridCol w:w="80"/>
        <w:gridCol w:w="80"/>
        <w:gridCol w:w="1073"/>
        <w:gridCol w:w="32"/>
        <w:gridCol w:w="120"/>
        <w:gridCol w:w="85"/>
        <w:gridCol w:w="85"/>
        <w:gridCol w:w="968"/>
        <w:gridCol w:w="345"/>
        <w:gridCol w:w="60"/>
        <w:gridCol w:w="74"/>
        <w:gridCol w:w="74"/>
        <w:gridCol w:w="697"/>
        <w:gridCol w:w="30"/>
        <w:gridCol w:w="120"/>
        <w:gridCol w:w="60"/>
        <w:gridCol w:w="60"/>
        <w:gridCol w:w="979"/>
        <w:gridCol w:w="23"/>
        <w:gridCol w:w="120"/>
        <w:gridCol w:w="60"/>
        <w:gridCol w:w="60"/>
        <w:gridCol w:w="680"/>
        <w:gridCol w:w="455"/>
        <w:gridCol w:w="60"/>
        <w:gridCol w:w="76"/>
        <w:gridCol w:w="76"/>
        <w:gridCol w:w="1257"/>
        <w:gridCol w:w="53"/>
      </w:tblGrid>
      <w:tr>
        <w:trPr/>
        <w:tc>
          <w:tcPr>
            <w:tcW w:w="21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4"/>
            <w:tcBorders/>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418" w:type="dxa"/>
            <w:gridSpan w:val="9"/>
            <w:tcBorders>
              <w:bottom w:val="single" w:sz="16" w:space="0" w:color="A41F35"/>
            </w:tcBorders>
            <w:tcMar>
              <w:bottom w:w="40" w:type="dxa"/>
            </w:tcMar>
            <w:vAlign w:val="center"/>
          </w:tcPr>
          <w:p>
            <w:pPr>
              <w:pStyle w:val="TableContents"/>
              <w:bidi w:val="0"/>
              <w:spacing w:before="0" w:after="283"/>
              <w:jc w:val="center"/>
              <w:rPr>
                <w:b/>
              </w:rPr>
            </w:pPr>
            <w:r>
              <w:rPr>
                <w:b/>
              </w:rPr>
              <w:t>Option Awards</w:t>
            </w:r>
          </w:p>
        </w:tc>
        <w:tc>
          <w:tcPr>
            <w:tcW w:w="120" w:type="dxa"/>
            <w:tcBorders/>
            <w:vAlign w:val="center"/>
          </w:tcPr>
          <w:p>
            <w:pPr>
              <w:pStyle w:val="TableContents"/>
              <w:bidi w:val="0"/>
              <w:spacing w:before="0" w:after="283"/>
              <w:jc w:val="left"/>
              <w:rPr/>
            </w:pPr>
            <w:r>
              <w:rPr/>
              <w:t>  </w:t>
            </w:r>
          </w:p>
        </w:tc>
        <w:tc>
          <w:tcPr>
            <w:tcW w:w="1122" w:type="dxa"/>
            <w:gridSpan w:val="4"/>
            <w:tcBorders/>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777" w:type="dxa"/>
            <w:gridSpan w:val="9"/>
            <w:tcBorders>
              <w:bottom w:val="single" w:sz="16" w:space="0" w:color="A41F35"/>
            </w:tcBorders>
            <w:tcMar>
              <w:bottom w:w="40" w:type="dxa"/>
            </w:tcMar>
            <w:vAlign w:val="center"/>
          </w:tcPr>
          <w:p>
            <w:pPr>
              <w:pStyle w:val="TableContents"/>
              <w:bidi w:val="0"/>
              <w:spacing w:before="0" w:after="283"/>
              <w:jc w:val="center"/>
              <w:rPr>
                <w:b/>
              </w:rPr>
            </w:pPr>
            <w:r>
              <w:rPr>
                <w:b/>
              </w:rPr>
              <w:t>Stock Awards</w:t>
            </w:r>
          </w:p>
        </w:tc>
      </w:tr>
      <w:tr>
        <w:trPr/>
        <w:tc>
          <w:tcPr>
            <w:tcW w:w="2143"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Named Executive Officer</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6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8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87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Option</w:t>
              <w:br/>
              <w:t>Exercise</w:t>
              <w:br/>
              <w:t>Price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2"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Option</w:t>
              <w:br/>
              <w:t>Expiration</w:t>
              <w:br/>
              <w:t>Date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5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w:t>
              <w:br/>
              <w:t>Shares or</w:t>
              <w:br/>
              <w:t>Units of</w:t>
              <w:br/>
              <w:t>Stock that</w:t>
              <w:br/>
              <w:t>have not</w:t>
              <w:br/>
              <w:t>Vested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62"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Market Value</w:t>
              <w:br/>
              <w:t>of Shares or</w:t>
              <w:br/>
              <w:t>Units of Stock</w:t>
              <w:br/>
              <w:t>that have not</w:t>
              <w:br/>
              <w:t>Vested ($)(1)</w:t>
            </w:r>
          </w:p>
        </w:tc>
      </w:tr>
      <w:tr>
        <w:trPr/>
        <w:tc>
          <w:tcPr>
            <w:tcW w:w="2143" w:type="dxa"/>
            <w:tcBorders/>
            <w:shd w:fill="EFECE8" w:val="clear"/>
            <w:vAlign w:val="center"/>
          </w:tcPr>
          <w:p>
            <w:pPr>
              <w:pStyle w:val="TableContents"/>
              <w:bidi w:val="0"/>
              <w:spacing w:before="0" w:after="283"/>
              <w:jc w:val="left"/>
              <w:rPr>
                <w:sz w:val="4"/>
                <w:szCs w:val="4"/>
              </w:rPr>
            </w:pPr>
            <w:r>
              <w:rPr>
                <w:sz w:val="4"/>
                <w:szCs w:val="4"/>
              </w:rPr>
            </w:r>
          </w:p>
        </w:tc>
        <w:tc>
          <w:tcPr>
            <w:tcW w:w="1385" w:type="dxa"/>
            <w:gridSpan w:val="5"/>
            <w:tcBorders/>
            <w:shd w:fill="EFECE8" w:val="clear"/>
            <w:vAlign w:val="center"/>
          </w:tcPr>
          <w:p>
            <w:pPr>
              <w:pStyle w:val="TableContents"/>
              <w:bidi w:val="0"/>
              <w:spacing w:before="0" w:after="283"/>
              <w:jc w:val="left"/>
              <w:rPr>
                <w:sz w:val="4"/>
                <w:szCs w:val="4"/>
              </w:rPr>
            </w:pPr>
            <w:r>
              <w:rPr>
                <w:sz w:val="4"/>
                <w:szCs w:val="4"/>
              </w:rPr>
            </w:r>
          </w:p>
        </w:tc>
        <w:tc>
          <w:tcPr>
            <w:tcW w:w="1603" w:type="dxa"/>
            <w:gridSpan w:val="5"/>
            <w:tcBorders/>
            <w:shd w:fill="EFECE8" w:val="clear"/>
            <w:vAlign w:val="center"/>
          </w:tcPr>
          <w:p>
            <w:pPr>
              <w:pStyle w:val="TableContents"/>
              <w:bidi w:val="0"/>
              <w:spacing w:before="0" w:after="283"/>
              <w:jc w:val="left"/>
              <w:rPr>
                <w:sz w:val="4"/>
                <w:szCs w:val="4"/>
              </w:rPr>
            </w:pPr>
            <w:r>
              <w:rPr>
                <w:sz w:val="4"/>
                <w:szCs w:val="4"/>
              </w:rPr>
            </w:r>
          </w:p>
        </w:tc>
        <w:tc>
          <w:tcPr>
            <w:tcW w:w="935" w:type="dxa"/>
            <w:gridSpan w:val="5"/>
            <w:tcBorders/>
            <w:shd w:fill="EFECE8" w:val="clear"/>
            <w:vAlign w:val="center"/>
          </w:tcPr>
          <w:p>
            <w:pPr>
              <w:pStyle w:val="TableContents"/>
              <w:bidi w:val="0"/>
              <w:spacing w:before="0" w:after="283"/>
              <w:jc w:val="left"/>
              <w:rPr>
                <w:sz w:val="4"/>
                <w:szCs w:val="4"/>
              </w:rPr>
            </w:pPr>
            <w:r>
              <w:rPr>
                <w:sz w:val="4"/>
                <w:szCs w:val="4"/>
              </w:rPr>
            </w:r>
          </w:p>
        </w:tc>
        <w:tc>
          <w:tcPr>
            <w:tcW w:w="1242" w:type="dxa"/>
            <w:gridSpan w:val="5"/>
            <w:tcBorders/>
            <w:shd w:fill="EFECE8" w:val="clear"/>
            <w:vAlign w:val="center"/>
          </w:tcPr>
          <w:p>
            <w:pPr>
              <w:pStyle w:val="TableContents"/>
              <w:bidi w:val="0"/>
              <w:spacing w:before="0" w:after="283"/>
              <w:jc w:val="left"/>
              <w:rPr>
                <w:sz w:val="4"/>
                <w:szCs w:val="4"/>
              </w:rPr>
            </w:pPr>
            <w:r>
              <w:rPr>
                <w:sz w:val="4"/>
                <w:szCs w:val="4"/>
              </w:rPr>
            </w:r>
          </w:p>
        </w:tc>
        <w:tc>
          <w:tcPr>
            <w:tcW w:w="1375" w:type="dxa"/>
            <w:gridSpan w:val="5"/>
            <w:tcBorders/>
            <w:shd w:fill="EFECE8" w:val="clear"/>
            <w:vAlign w:val="center"/>
          </w:tcPr>
          <w:p>
            <w:pPr>
              <w:pStyle w:val="TableContents"/>
              <w:bidi w:val="0"/>
              <w:spacing w:before="0" w:after="283"/>
              <w:jc w:val="left"/>
              <w:rPr>
                <w:sz w:val="4"/>
                <w:szCs w:val="4"/>
              </w:rPr>
            </w:pPr>
            <w:r>
              <w:rPr>
                <w:sz w:val="4"/>
                <w:szCs w:val="4"/>
              </w:rPr>
            </w:r>
          </w:p>
        </w:tc>
        <w:tc>
          <w:tcPr>
            <w:tcW w:w="152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265,714</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16.00</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4/30/2029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153,000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16.14</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2/27/2030</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297,083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12,917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38.46</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2/24/2031</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23,333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72,917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13.28</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2/22/2032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26,200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30,965</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66.10</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2/20/2033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24,888</w:t>
            </w:r>
          </w:p>
        </w:tc>
        <w:tc>
          <w:tcPr>
            <w:tcW w:w="455" w:type="dxa"/>
            <w:tcBorders/>
            <w:shd w:fill="EFECE8" w:val="clear"/>
            <w:vAlign w:val="center"/>
          </w:tcPr>
          <w:p>
            <w:pPr>
              <w:pStyle w:val="TableContents"/>
              <w:bidi w:val="0"/>
              <w:spacing w:before="0" w:after="283"/>
              <w:jc w:val="left"/>
              <w:rPr/>
            </w:pPr>
            <w:r>
              <w:rPr/>
              <w:t>(3) </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1,551,767</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11,800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44,845</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83.14</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2/23/2034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36,755</w:t>
            </w:r>
          </w:p>
        </w:tc>
        <w:tc>
          <w:tcPr>
            <w:tcW w:w="455" w:type="dxa"/>
            <w:tcBorders/>
            <w:shd w:fill="EFECE8" w:val="clear"/>
            <w:vAlign w:val="center"/>
          </w:tcPr>
          <w:p>
            <w:pPr>
              <w:pStyle w:val="TableContents"/>
              <w:bidi w:val="0"/>
              <w:spacing w:before="0" w:after="283"/>
              <w:jc w:val="left"/>
              <w:rPr/>
            </w:pPr>
            <w:r>
              <w:rPr/>
              <w:t>(4) </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2,291,674</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242" w:type="dxa"/>
            <w:gridSpan w:val="5"/>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522" w:type="dxa"/>
            <w:gridSpan w:val="5"/>
            <w:tcBorders/>
            <w:vAlign w:val="center"/>
          </w:tcPr>
          <w:p>
            <w:pPr>
              <w:pStyle w:val="TableContents"/>
              <w:bidi w:val="0"/>
              <w:spacing w:before="0" w:after="283"/>
              <w:jc w:val="left"/>
              <w:rPr>
                <w:sz w:val="4"/>
                <w:szCs w:val="4"/>
              </w:rPr>
            </w:pPr>
            <w:r>
              <w:rPr>
                <w:sz w:val="4"/>
                <w:szCs w:val="4"/>
              </w:rPr>
            </w:r>
          </w:p>
        </w:tc>
      </w:tr>
      <w:tr>
        <w:trPr/>
        <w:tc>
          <w:tcPr>
            <w:tcW w:w="2143" w:type="dxa"/>
            <w:vMerge w:val="restart"/>
            <w:tcBorders/>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18,922</w:t>
            </w:r>
          </w:p>
        </w:tc>
        <w:tc>
          <w:tcPr>
            <w:tcW w:w="34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69.84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12/9/2034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12,463</w:t>
            </w:r>
          </w:p>
        </w:tc>
        <w:tc>
          <w:tcPr>
            <w:tcW w:w="45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777,068</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tcBorders/>
            <w:shd w:fill="EFECE8" w:val="clear"/>
            <w:vAlign w:val="center"/>
          </w:tcPr>
          <w:p>
            <w:pPr>
              <w:pStyle w:val="TableContents"/>
              <w:bidi w:val="0"/>
              <w:spacing w:before="0" w:after="283"/>
              <w:jc w:val="left"/>
              <w:rPr>
                <w:sz w:val="4"/>
                <w:szCs w:val="4"/>
              </w:rPr>
            </w:pPr>
            <w:r>
              <w:rPr>
                <w:sz w:val="4"/>
                <w:szCs w:val="4"/>
              </w:rPr>
            </w:r>
          </w:p>
        </w:tc>
        <w:tc>
          <w:tcPr>
            <w:tcW w:w="1385" w:type="dxa"/>
            <w:gridSpan w:val="5"/>
            <w:tcBorders/>
            <w:shd w:fill="EFECE8" w:val="clear"/>
            <w:vAlign w:val="center"/>
          </w:tcPr>
          <w:p>
            <w:pPr>
              <w:pStyle w:val="TableContents"/>
              <w:bidi w:val="0"/>
              <w:spacing w:before="0" w:after="283"/>
              <w:jc w:val="left"/>
              <w:rPr>
                <w:sz w:val="4"/>
                <w:szCs w:val="4"/>
              </w:rPr>
            </w:pPr>
            <w:r>
              <w:rPr>
                <w:sz w:val="4"/>
                <w:szCs w:val="4"/>
              </w:rPr>
            </w:r>
          </w:p>
        </w:tc>
        <w:tc>
          <w:tcPr>
            <w:tcW w:w="1603" w:type="dxa"/>
            <w:gridSpan w:val="5"/>
            <w:tcBorders/>
            <w:shd w:fill="EFECE8" w:val="clear"/>
            <w:vAlign w:val="center"/>
          </w:tcPr>
          <w:p>
            <w:pPr>
              <w:pStyle w:val="TableContents"/>
              <w:bidi w:val="0"/>
              <w:spacing w:before="0" w:after="283"/>
              <w:jc w:val="left"/>
              <w:rPr>
                <w:sz w:val="4"/>
                <w:szCs w:val="4"/>
              </w:rPr>
            </w:pPr>
            <w:r>
              <w:rPr>
                <w:sz w:val="4"/>
                <w:szCs w:val="4"/>
              </w:rPr>
            </w:r>
          </w:p>
        </w:tc>
        <w:tc>
          <w:tcPr>
            <w:tcW w:w="935" w:type="dxa"/>
            <w:gridSpan w:val="5"/>
            <w:tcBorders/>
            <w:shd w:fill="EFECE8" w:val="clear"/>
            <w:vAlign w:val="center"/>
          </w:tcPr>
          <w:p>
            <w:pPr>
              <w:pStyle w:val="TableContents"/>
              <w:bidi w:val="0"/>
              <w:spacing w:before="0" w:after="283"/>
              <w:jc w:val="left"/>
              <w:rPr>
                <w:sz w:val="4"/>
                <w:szCs w:val="4"/>
              </w:rPr>
            </w:pPr>
            <w:r>
              <w:rPr>
                <w:sz w:val="4"/>
                <w:szCs w:val="4"/>
              </w:rPr>
            </w:r>
          </w:p>
        </w:tc>
        <w:tc>
          <w:tcPr>
            <w:tcW w:w="1242" w:type="dxa"/>
            <w:gridSpan w:val="5"/>
            <w:tcBorders/>
            <w:shd w:fill="EFECE8" w:val="clear"/>
            <w:vAlign w:val="center"/>
          </w:tcPr>
          <w:p>
            <w:pPr>
              <w:pStyle w:val="TableContents"/>
              <w:bidi w:val="0"/>
              <w:spacing w:before="0" w:after="283"/>
              <w:jc w:val="left"/>
              <w:rPr>
                <w:sz w:val="4"/>
                <w:szCs w:val="4"/>
              </w:rPr>
            </w:pPr>
            <w:r>
              <w:rPr>
                <w:sz w:val="4"/>
                <w:szCs w:val="4"/>
              </w:rPr>
            </w:r>
          </w:p>
        </w:tc>
        <w:tc>
          <w:tcPr>
            <w:tcW w:w="1375" w:type="dxa"/>
            <w:gridSpan w:val="5"/>
            <w:tcBorders/>
            <w:shd w:fill="EFECE8" w:val="clear"/>
            <w:vAlign w:val="center"/>
          </w:tcPr>
          <w:p>
            <w:pPr>
              <w:pStyle w:val="TableContents"/>
              <w:bidi w:val="0"/>
              <w:spacing w:before="0" w:after="283"/>
              <w:jc w:val="left"/>
              <w:rPr>
                <w:sz w:val="4"/>
                <w:szCs w:val="4"/>
              </w:rPr>
            </w:pPr>
            <w:r>
              <w:rPr>
                <w:sz w:val="4"/>
                <w:szCs w:val="4"/>
              </w:rPr>
            </w:r>
          </w:p>
        </w:tc>
        <w:tc>
          <w:tcPr>
            <w:tcW w:w="152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2,917</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2,917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38.46</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2/24/2031</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1,083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15,167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13.28</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2/22/2032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1,251</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10,847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66.10</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2/20/2033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8,716</w:t>
            </w:r>
          </w:p>
        </w:tc>
        <w:tc>
          <w:tcPr>
            <w:tcW w:w="455" w:type="dxa"/>
            <w:tcBorders/>
            <w:shd w:fill="EFECE8" w:val="clear"/>
            <w:vAlign w:val="center"/>
          </w:tcPr>
          <w:p>
            <w:pPr>
              <w:pStyle w:val="TableContents"/>
              <w:bidi w:val="0"/>
              <w:spacing w:before="0" w:after="283"/>
              <w:jc w:val="left"/>
              <w:rPr/>
            </w:pPr>
            <w:r>
              <w:rPr/>
              <w:t>(3) </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543,443</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3,893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14,797</w:t>
            </w:r>
          </w:p>
        </w:tc>
        <w:tc>
          <w:tcPr>
            <w:tcW w:w="345" w:type="dxa"/>
            <w:tcBorders/>
            <w:shd w:fill="EFECE8" w:val="clear"/>
            <w:vAlign w:val="center"/>
          </w:tcPr>
          <w:p>
            <w:pPr>
              <w:pStyle w:val="TableContents"/>
              <w:bidi w:val="0"/>
              <w:spacing w:before="0" w:after="283"/>
              <w:jc w:val="left"/>
              <w:rPr/>
            </w:pPr>
            <w:r>
              <w:rPr/>
              <w:t>(2)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83.14</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2/23/2034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12,127</w:t>
            </w:r>
          </w:p>
        </w:tc>
        <w:tc>
          <w:tcPr>
            <w:tcW w:w="455" w:type="dxa"/>
            <w:tcBorders/>
            <w:shd w:fill="EFECE8" w:val="clear"/>
            <w:vAlign w:val="center"/>
          </w:tcPr>
          <w:p>
            <w:pPr>
              <w:pStyle w:val="TableContents"/>
              <w:bidi w:val="0"/>
              <w:spacing w:before="0" w:after="283"/>
              <w:jc w:val="left"/>
              <w:rPr/>
            </w:pPr>
            <w:r>
              <w:rPr/>
              <w:t>(4) </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756,118</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242" w:type="dxa"/>
            <w:gridSpan w:val="5"/>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522" w:type="dxa"/>
            <w:gridSpan w:val="5"/>
            <w:tcBorders/>
            <w:vAlign w:val="center"/>
          </w:tcPr>
          <w:p>
            <w:pPr>
              <w:pStyle w:val="TableContents"/>
              <w:bidi w:val="0"/>
              <w:spacing w:before="0" w:after="283"/>
              <w:jc w:val="left"/>
              <w:rPr>
                <w:sz w:val="4"/>
                <w:szCs w:val="4"/>
              </w:rPr>
            </w:pPr>
            <w:r>
              <w:rPr>
                <w:sz w:val="4"/>
                <w:szCs w:val="4"/>
              </w:rPr>
            </w:r>
          </w:p>
        </w:tc>
      </w:tr>
      <w:tr>
        <w:trPr/>
        <w:tc>
          <w:tcPr>
            <w:tcW w:w="2143" w:type="dxa"/>
            <w:vMerge w:val="restart"/>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1,644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10,278</w:t>
            </w:r>
          </w:p>
        </w:tc>
        <w:tc>
          <w:tcPr>
            <w:tcW w:w="34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66.10</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2/20/2033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9,664</w:t>
            </w:r>
          </w:p>
        </w:tc>
        <w:tc>
          <w:tcPr>
            <w:tcW w:w="45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602,550</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1,483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13,959</w:t>
            </w:r>
          </w:p>
        </w:tc>
        <w:tc>
          <w:tcPr>
            <w:tcW w:w="34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83.14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2/23/2034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11,441</w:t>
            </w:r>
          </w:p>
        </w:tc>
        <w:tc>
          <w:tcPr>
            <w:tcW w:w="45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713,346</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tcBorders/>
            <w:shd w:fill="EFECE8" w:val="clear"/>
            <w:vAlign w:val="center"/>
          </w:tcPr>
          <w:p>
            <w:pPr>
              <w:pStyle w:val="TableContents"/>
              <w:bidi w:val="0"/>
              <w:spacing w:before="0" w:after="283"/>
              <w:jc w:val="left"/>
              <w:rPr>
                <w:sz w:val="4"/>
                <w:szCs w:val="4"/>
              </w:rPr>
            </w:pPr>
            <w:r>
              <w:rPr>
                <w:sz w:val="4"/>
                <w:szCs w:val="4"/>
              </w:rPr>
            </w:r>
          </w:p>
        </w:tc>
        <w:tc>
          <w:tcPr>
            <w:tcW w:w="1385" w:type="dxa"/>
            <w:gridSpan w:val="5"/>
            <w:tcBorders/>
            <w:shd w:fill="EFECE8" w:val="clear"/>
            <w:vAlign w:val="center"/>
          </w:tcPr>
          <w:p>
            <w:pPr>
              <w:pStyle w:val="TableContents"/>
              <w:bidi w:val="0"/>
              <w:spacing w:before="0" w:after="283"/>
              <w:jc w:val="left"/>
              <w:rPr>
                <w:sz w:val="4"/>
                <w:szCs w:val="4"/>
              </w:rPr>
            </w:pPr>
            <w:r>
              <w:rPr>
                <w:sz w:val="4"/>
                <w:szCs w:val="4"/>
              </w:rPr>
            </w:r>
          </w:p>
        </w:tc>
        <w:tc>
          <w:tcPr>
            <w:tcW w:w="1603" w:type="dxa"/>
            <w:gridSpan w:val="5"/>
            <w:tcBorders/>
            <w:shd w:fill="EFECE8" w:val="clear"/>
            <w:vAlign w:val="center"/>
          </w:tcPr>
          <w:p>
            <w:pPr>
              <w:pStyle w:val="TableContents"/>
              <w:bidi w:val="0"/>
              <w:spacing w:before="0" w:after="283"/>
              <w:jc w:val="left"/>
              <w:rPr>
                <w:sz w:val="4"/>
                <w:szCs w:val="4"/>
              </w:rPr>
            </w:pPr>
            <w:r>
              <w:rPr>
                <w:sz w:val="4"/>
                <w:szCs w:val="4"/>
              </w:rPr>
            </w:r>
          </w:p>
        </w:tc>
        <w:tc>
          <w:tcPr>
            <w:tcW w:w="935" w:type="dxa"/>
            <w:gridSpan w:val="5"/>
            <w:tcBorders/>
            <w:shd w:fill="EFECE8" w:val="clear"/>
            <w:vAlign w:val="center"/>
          </w:tcPr>
          <w:p>
            <w:pPr>
              <w:pStyle w:val="TableContents"/>
              <w:bidi w:val="0"/>
              <w:spacing w:before="0" w:after="283"/>
              <w:jc w:val="left"/>
              <w:rPr>
                <w:sz w:val="4"/>
                <w:szCs w:val="4"/>
              </w:rPr>
            </w:pPr>
            <w:r>
              <w:rPr>
                <w:sz w:val="4"/>
                <w:szCs w:val="4"/>
              </w:rPr>
            </w:r>
          </w:p>
        </w:tc>
        <w:tc>
          <w:tcPr>
            <w:tcW w:w="1242" w:type="dxa"/>
            <w:gridSpan w:val="5"/>
            <w:tcBorders/>
            <w:shd w:fill="EFECE8" w:val="clear"/>
            <w:vAlign w:val="center"/>
          </w:tcPr>
          <w:p>
            <w:pPr>
              <w:pStyle w:val="TableContents"/>
              <w:bidi w:val="0"/>
              <w:spacing w:before="0" w:after="283"/>
              <w:jc w:val="left"/>
              <w:rPr>
                <w:sz w:val="4"/>
                <w:szCs w:val="4"/>
              </w:rPr>
            </w:pPr>
            <w:r>
              <w:rPr>
                <w:sz w:val="4"/>
                <w:szCs w:val="4"/>
              </w:rPr>
            </w:r>
          </w:p>
        </w:tc>
        <w:tc>
          <w:tcPr>
            <w:tcW w:w="1375" w:type="dxa"/>
            <w:gridSpan w:val="5"/>
            <w:tcBorders/>
            <w:shd w:fill="EFECE8" w:val="clear"/>
            <w:vAlign w:val="center"/>
          </w:tcPr>
          <w:p>
            <w:pPr>
              <w:pStyle w:val="TableContents"/>
              <w:bidi w:val="0"/>
              <w:spacing w:before="0" w:after="283"/>
              <w:jc w:val="left"/>
              <w:rPr>
                <w:sz w:val="4"/>
                <w:szCs w:val="4"/>
              </w:rPr>
            </w:pPr>
            <w:r>
              <w:rPr>
                <w:sz w:val="4"/>
                <w:szCs w:val="4"/>
              </w:rPr>
            </w:r>
          </w:p>
        </w:tc>
        <w:tc>
          <w:tcPr>
            <w:tcW w:w="152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restart"/>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1,226</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9,194</w:t>
            </w:r>
          </w:p>
        </w:tc>
        <w:tc>
          <w:tcPr>
            <w:tcW w:w="345" w:type="dxa"/>
            <w:tcBorders/>
            <w:shd w:fill="EFECE8" w:val="clear"/>
            <w:vAlign w:val="center"/>
          </w:tcPr>
          <w:p>
            <w:pPr>
              <w:pStyle w:val="TableContents"/>
              <w:bidi w:val="0"/>
              <w:spacing w:before="0" w:after="283"/>
              <w:jc w:val="left"/>
              <w:rPr/>
            </w:pPr>
            <w:r>
              <w:rPr/>
              <w:t>(9) </w:t>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93.88</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8/1/2033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w:t>
            </w:r>
          </w:p>
        </w:tc>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vMerge w:val="continue"/>
            <w:tcBorders/>
            <w:shd w:fill="EFECE8" w:val="clear"/>
            <w:vAlign w:val="center"/>
          </w:tcPr>
          <w:p>
            <w:pPr>
              <w:pStyle w:val="Normal"/>
              <w:bidi w:val="0"/>
              <w:jc w:val="left"/>
              <w:rPr/>
            </w:pPr>
            <w:r>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073" w:type="dxa"/>
            <w:tcBorders/>
            <w:shd w:fill="EFECE8" w:val="clear"/>
            <w:vAlign w:val="center"/>
          </w:tcPr>
          <w:p>
            <w:pPr>
              <w:pStyle w:val="TableContents"/>
              <w:bidi w:val="0"/>
              <w:spacing w:before="0" w:after="283"/>
              <w:jc w:val="right"/>
              <w:rPr/>
            </w:pPr>
            <w:r>
              <w:rPr/>
              <w:t>—</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85" w:type="dxa"/>
            <w:tcBorders/>
            <w:shd w:fill="EFECE8" w:val="clear"/>
            <w:vAlign w:val="center"/>
          </w:tcPr>
          <w:p>
            <w:pPr>
              <w:pStyle w:val="TableContents"/>
              <w:bidi w:val="0"/>
              <w:spacing w:before="0" w:after="283"/>
              <w:jc w:val="left"/>
              <w:rPr/>
            </w:pPr>
            <w:r>
              <w:rPr/>
              <w:t> </w:t>
            </w:r>
          </w:p>
        </w:tc>
        <w:tc>
          <w:tcPr>
            <w:tcW w:w="968" w:type="dxa"/>
            <w:tcBorders/>
            <w:shd w:fill="EFECE8" w:val="clear"/>
            <w:vAlign w:val="center"/>
          </w:tcPr>
          <w:p>
            <w:pPr>
              <w:pStyle w:val="TableContents"/>
              <w:bidi w:val="0"/>
              <w:spacing w:before="0" w:after="283"/>
              <w:jc w:val="right"/>
              <w:rPr/>
            </w:pPr>
            <w:r>
              <w:rPr/>
              <w:t>—</w:t>
            </w:r>
          </w:p>
        </w:tc>
        <w:tc>
          <w:tcPr>
            <w:tcW w:w="34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74" w:type="dxa"/>
            <w:tcBorders/>
            <w:shd w:fill="EFECE8" w:val="clear"/>
            <w:vAlign w:val="center"/>
          </w:tcPr>
          <w:p>
            <w:pPr>
              <w:pStyle w:val="TableContents"/>
              <w:bidi w:val="0"/>
              <w:spacing w:before="0" w:after="283"/>
              <w:jc w:val="left"/>
              <w:rPr/>
            </w:pPr>
            <w:r>
              <w:rPr/>
              <w:t> </w:t>
            </w:r>
          </w:p>
        </w:tc>
        <w:tc>
          <w:tcPr>
            <w:tcW w:w="697" w:type="dxa"/>
            <w:tcBorders/>
            <w:shd w:fill="EFECE8" w:val="clear"/>
            <w:vAlign w:val="center"/>
          </w:tcPr>
          <w:p>
            <w:pPr>
              <w:pStyle w:val="TableContents"/>
              <w:bidi w:val="0"/>
              <w:spacing w:before="0" w:after="283"/>
              <w:jc w:val="right"/>
              <w:rPr/>
            </w:pPr>
            <w:r>
              <w:rPr/>
              <w:t>—</w:t>
            </w:r>
          </w:p>
        </w:tc>
        <w:tc>
          <w:tcPr>
            <w:tcW w:w="3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79" w:type="dxa"/>
            <w:tcBorders/>
            <w:shd w:fill="EFECE8" w:val="clear"/>
            <w:vAlign w:val="center"/>
          </w:tcPr>
          <w:p>
            <w:pPr>
              <w:pStyle w:val="TableContents"/>
              <w:bidi w:val="0"/>
              <w:spacing w:before="0" w:after="283"/>
              <w:jc w:val="right"/>
              <w:rPr/>
            </w:pPr>
            <w:r>
              <w:rPr/>
              <w:t>—</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80" w:type="dxa"/>
            <w:tcBorders/>
            <w:shd w:fill="EFECE8" w:val="clear"/>
            <w:vAlign w:val="center"/>
          </w:tcPr>
          <w:p>
            <w:pPr>
              <w:pStyle w:val="TableContents"/>
              <w:bidi w:val="0"/>
              <w:spacing w:before="0" w:after="283"/>
              <w:jc w:val="right"/>
              <w:rPr/>
            </w:pPr>
            <w:r>
              <w:rPr/>
              <w:t>7,134</w:t>
            </w:r>
          </w:p>
        </w:tc>
        <w:tc>
          <w:tcPr>
            <w:tcW w:w="455" w:type="dxa"/>
            <w:tcBorders/>
            <w:shd w:fill="EFECE8" w:val="clear"/>
            <w:vAlign w:val="center"/>
          </w:tcPr>
          <w:p>
            <w:pPr>
              <w:pStyle w:val="TableContents"/>
              <w:bidi w:val="0"/>
              <w:spacing w:before="0" w:after="283"/>
              <w:jc w:val="left"/>
              <w:rPr/>
            </w:pPr>
            <w:r>
              <w:rPr/>
              <w:t>(10) </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1257" w:type="dxa"/>
            <w:tcBorders/>
            <w:shd w:fill="EFECE8" w:val="clear"/>
            <w:vAlign w:val="center"/>
          </w:tcPr>
          <w:p>
            <w:pPr>
              <w:pStyle w:val="TableContents"/>
              <w:bidi w:val="0"/>
              <w:spacing w:before="0" w:after="283"/>
              <w:jc w:val="right"/>
              <w:rPr/>
            </w:pPr>
            <w:r>
              <w:rPr/>
              <w:t>444,805</w:t>
            </w:r>
          </w:p>
        </w:tc>
        <w:tc>
          <w:tcPr>
            <w:tcW w:w="53" w:type="dxa"/>
            <w:tcBorders/>
            <w:shd w:fill="EFECE8" w:val="clear"/>
            <w:vAlign w:val="center"/>
          </w:tcPr>
          <w:p>
            <w:pPr>
              <w:pStyle w:val="TableContents"/>
              <w:bidi w:val="0"/>
              <w:spacing w:before="0" w:after="283"/>
              <w:jc w:val="left"/>
              <w:rPr>
                <w:sz w:val="4"/>
                <w:szCs w:val="4"/>
              </w:rPr>
            </w:pPr>
            <w:r>
              <w:rPr>
                <w:sz w:val="4"/>
                <w:szCs w:val="4"/>
              </w:rPr>
            </w:r>
          </w:p>
        </w:tc>
      </w:tr>
      <w:tr>
        <w:trPr/>
        <w:tc>
          <w:tcPr>
            <w:tcW w:w="2143" w:type="dxa"/>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603" w:type="dxa"/>
            <w:gridSpan w:val="5"/>
            <w:tcBorders/>
            <w:vAlign w:val="center"/>
          </w:tcPr>
          <w:p>
            <w:pPr>
              <w:pStyle w:val="TableContents"/>
              <w:bidi w:val="0"/>
              <w:spacing w:before="0" w:after="283"/>
              <w:jc w:val="left"/>
              <w:rPr>
                <w:sz w:val="4"/>
                <w:szCs w:val="4"/>
              </w:rPr>
            </w:pPr>
            <w:r>
              <w:rPr>
                <w:sz w:val="4"/>
                <w:szCs w:val="4"/>
              </w:rPr>
            </w:r>
          </w:p>
        </w:tc>
        <w:tc>
          <w:tcPr>
            <w:tcW w:w="935" w:type="dxa"/>
            <w:gridSpan w:val="5"/>
            <w:tcBorders/>
            <w:vAlign w:val="center"/>
          </w:tcPr>
          <w:p>
            <w:pPr>
              <w:pStyle w:val="TableContents"/>
              <w:bidi w:val="0"/>
              <w:spacing w:before="0" w:after="283"/>
              <w:jc w:val="left"/>
              <w:rPr>
                <w:sz w:val="4"/>
                <w:szCs w:val="4"/>
              </w:rPr>
            </w:pPr>
            <w:r>
              <w:rPr>
                <w:sz w:val="4"/>
                <w:szCs w:val="4"/>
              </w:rPr>
            </w:r>
          </w:p>
        </w:tc>
        <w:tc>
          <w:tcPr>
            <w:tcW w:w="1242" w:type="dxa"/>
            <w:gridSpan w:val="5"/>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522" w:type="dxa"/>
            <w:gridSpan w:val="5"/>
            <w:tcBorders/>
            <w:vAlign w:val="center"/>
          </w:tcPr>
          <w:p>
            <w:pPr>
              <w:pStyle w:val="TableContents"/>
              <w:bidi w:val="0"/>
              <w:spacing w:before="0" w:after="283"/>
              <w:jc w:val="left"/>
              <w:rPr>
                <w:sz w:val="4"/>
                <w:szCs w:val="4"/>
              </w:rPr>
            </w:pPr>
            <w:r>
              <w:rPr>
                <w:sz w:val="4"/>
                <w:szCs w:val="4"/>
              </w:rPr>
            </w:r>
          </w:p>
        </w:tc>
      </w:tr>
      <w:tr>
        <w:trPr/>
        <w:tc>
          <w:tcPr>
            <w:tcW w:w="2143" w:type="dxa"/>
            <w:vMerge w:val="restart"/>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84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16.14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2/27/2030</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12,500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2,917</w:t>
            </w:r>
          </w:p>
        </w:tc>
        <w:tc>
          <w:tcPr>
            <w:tcW w:w="34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38.46</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2/24/2031</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8,000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15,167</w:t>
            </w:r>
          </w:p>
        </w:tc>
        <w:tc>
          <w:tcPr>
            <w:tcW w:w="34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13.28</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2/22/2032</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4,175</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10,847</w:t>
            </w:r>
          </w:p>
        </w:tc>
        <w:tc>
          <w:tcPr>
            <w:tcW w:w="34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66.10</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2/20/2033</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w:t>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8,716</w:t>
            </w:r>
          </w:p>
        </w:tc>
        <w:tc>
          <w:tcPr>
            <w:tcW w:w="45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543,443</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2,893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14,797</w:t>
            </w:r>
          </w:p>
        </w:tc>
        <w:tc>
          <w:tcPr>
            <w:tcW w:w="345"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right"/>
              <w:rPr/>
            </w:pPr>
            <w:r>
              <w:rPr/>
              <w:t>83.14</w:t>
            </w:r>
          </w:p>
        </w:tc>
        <w:tc>
          <w:tcPr>
            <w:tcW w:w="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tcBorders/>
            <w:vAlign w:val="center"/>
          </w:tcPr>
          <w:p>
            <w:pPr>
              <w:pStyle w:val="TableContents"/>
              <w:bidi w:val="0"/>
              <w:spacing w:before="0" w:after="283"/>
              <w:jc w:val="right"/>
              <w:rPr/>
            </w:pPr>
            <w:r>
              <w:rPr/>
              <w:t>2/23/2034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w:t>
            </w:r>
          </w:p>
        </w:tc>
        <w:tc>
          <w:tcPr>
            <w:tcW w:w="53" w:type="dxa"/>
            <w:tcBorders/>
            <w:vAlign w:val="center"/>
          </w:tcPr>
          <w:p>
            <w:pPr>
              <w:pStyle w:val="TableContents"/>
              <w:bidi w:val="0"/>
              <w:spacing w:before="0" w:after="283"/>
              <w:jc w:val="left"/>
              <w:rPr>
                <w:sz w:val="4"/>
                <w:szCs w:val="4"/>
              </w:rPr>
            </w:pPr>
            <w:r>
              <w:rPr>
                <w:sz w:val="4"/>
                <w:szCs w:val="4"/>
              </w:rPr>
            </w:r>
          </w:p>
        </w:tc>
      </w:tr>
      <w:tr>
        <w:trPr/>
        <w:tc>
          <w:tcPr>
            <w:tcW w:w="2143" w:type="dxa"/>
            <w:vMerge w:val="continue"/>
            <w:tcBorders>
              <w:bottom w:val="single" w:sz="8" w:space="0" w:color="A41F35"/>
            </w:tcBorders>
            <w:tcMar>
              <w:bottom w:w="40" w:type="dxa"/>
            </w:tcMar>
            <w:vAlign w:val="center"/>
          </w:tcPr>
          <w:p>
            <w:pPr>
              <w:pStyle w:val="Normal"/>
              <w:bidi w:val="0"/>
              <w:jc w:val="left"/>
              <w:rPr/>
            </w:pPr>
            <w:r>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0" w:type="dxa"/>
            <w:tcBorders>
              <w:bottom w:val="single" w:sz="8" w:space="0" w:color="A41F35"/>
            </w:tcBorders>
            <w:tcMar>
              <w:bottom w:w="28" w:type="dxa"/>
            </w:tcMar>
            <w:vAlign w:val="center"/>
          </w:tcPr>
          <w:p>
            <w:pPr>
              <w:pStyle w:val="TableContents"/>
              <w:bidi w:val="0"/>
              <w:spacing w:before="0" w:after="283"/>
              <w:jc w:val="left"/>
              <w:rPr/>
            </w:pPr>
            <w:r>
              <w:rPr/>
              <w:t> </w:t>
            </w:r>
          </w:p>
        </w:tc>
        <w:tc>
          <w:tcPr>
            <w:tcW w:w="80" w:type="dxa"/>
            <w:tcBorders>
              <w:bottom w:val="single" w:sz="8" w:space="0" w:color="A41F35"/>
            </w:tcBorders>
            <w:tcMar>
              <w:bottom w:w="40" w:type="dxa"/>
            </w:tcMar>
            <w:vAlign w:val="center"/>
          </w:tcPr>
          <w:p>
            <w:pPr>
              <w:pStyle w:val="TableContents"/>
              <w:bidi w:val="0"/>
              <w:spacing w:before="0" w:after="283"/>
              <w:jc w:val="left"/>
              <w:rPr/>
            </w:pPr>
            <w:r>
              <w:rPr/>
              <w:t> </w:t>
            </w:r>
          </w:p>
        </w:tc>
        <w:tc>
          <w:tcPr>
            <w:tcW w:w="1073" w:type="dxa"/>
            <w:tcBorders>
              <w:bottom w:val="single" w:sz="8" w:space="0" w:color="A41F35"/>
            </w:tcBorders>
            <w:tcMar>
              <w:bottom w:w="40" w:type="dxa"/>
            </w:tcMar>
            <w:vAlign w:val="center"/>
          </w:tcPr>
          <w:p>
            <w:pPr>
              <w:pStyle w:val="TableContents"/>
              <w:bidi w:val="0"/>
              <w:spacing w:before="0" w:after="283"/>
              <w:jc w:val="right"/>
              <w:rPr/>
            </w:pPr>
            <w:r>
              <w:rPr/>
              <w:t>—</w:t>
            </w:r>
          </w:p>
        </w:tc>
        <w:tc>
          <w:tcPr>
            <w:tcW w:w="32"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5" w:type="dxa"/>
            <w:tcBorders>
              <w:bottom w:val="single" w:sz="8" w:space="0" w:color="A41F35"/>
            </w:tcBorders>
            <w:tcMar>
              <w:bottom w:w="28" w:type="dxa"/>
            </w:tcMar>
            <w:vAlign w:val="center"/>
          </w:tcPr>
          <w:p>
            <w:pPr>
              <w:pStyle w:val="TableContents"/>
              <w:bidi w:val="0"/>
              <w:spacing w:before="0" w:after="283"/>
              <w:jc w:val="left"/>
              <w:rPr/>
            </w:pPr>
            <w:r>
              <w:rPr/>
              <w:t> </w:t>
            </w:r>
          </w:p>
        </w:tc>
        <w:tc>
          <w:tcPr>
            <w:tcW w:w="85" w:type="dxa"/>
            <w:tcBorders>
              <w:bottom w:val="single" w:sz="8" w:space="0" w:color="A41F35"/>
            </w:tcBorders>
            <w:tcMar>
              <w:bottom w:w="40" w:type="dxa"/>
            </w:tcMar>
            <w:vAlign w:val="center"/>
          </w:tcPr>
          <w:p>
            <w:pPr>
              <w:pStyle w:val="TableContents"/>
              <w:bidi w:val="0"/>
              <w:spacing w:before="0" w:after="283"/>
              <w:jc w:val="left"/>
              <w:rPr/>
            </w:pPr>
            <w:r>
              <w:rPr/>
              <w:t> </w:t>
            </w:r>
          </w:p>
        </w:tc>
        <w:tc>
          <w:tcPr>
            <w:tcW w:w="968" w:type="dxa"/>
            <w:tcBorders>
              <w:bottom w:val="single" w:sz="8" w:space="0" w:color="A41F35"/>
            </w:tcBorders>
            <w:tcMar>
              <w:bottom w:w="40" w:type="dxa"/>
            </w:tcMar>
            <w:vAlign w:val="center"/>
          </w:tcPr>
          <w:p>
            <w:pPr>
              <w:pStyle w:val="TableContents"/>
              <w:bidi w:val="0"/>
              <w:spacing w:before="0" w:after="283"/>
              <w:jc w:val="right"/>
              <w:rPr/>
            </w:pPr>
            <w:r>
              <w:rPr/>
              <w:t>—</w:t>
            </w:r>
          </w:p>
        </w:tc>
        <w:tc>
          <w:tcPr>
            <w:tcW w:w="345"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74" w:type="dxa"/>
            <w:tcBorders>
              <w:bottom w:val="single" w:sz="8" w:space="0" w:color="A41F35"/>
            </w:tcBorders>
            <w:tcMar>
              <w:bottom w:w="28" w:type="dxa"/>
            </w:tcMar>
            <w:vAlign w:val="center"/>
          </w:tcPr>
          <w:p>
            <w:pPr>
              <w:pStyle w:val="TableContents"/>
              <w:bidi w:val="0"/>
              <w:spacing w:before="0" w:after="283"/>
              <w:jc w:val="left"/>
              <w:rPr/>
            </w:pPr>
            <w:r>
              <w:rPr/>
              <w:t> </w:t>
            </w:r>
          </w:p>
        </w:tc>
        <w:tc>
          <w:tcPr>
            <w:tcW w:w="74" w:type="dxa"/>
            <w:tcBorders>
              <w:bottom w:val="single" w:sz="8" w:space="0" w:color="A41F35"/>
            </w:tcBorders>
            <w:tcMar>
              <w:bottom w:w="40" w:type="dxa"/>
            </w:tcMar>
            <w:vAlign w:val="center"/>
          </w:tcPr>
          <w:p>
            <w:pPr>
              <w:pStyle w:val="TableContents"/>
              <w:bidi w:val="0"/>
              <w:spacing w:before="0" w:after="283"/>
              <w:jc w:val="left"/>
              <w:rPr/>
            </w:pPr>
            <w:r>
              <w:rPr/>
              <w:t> </w:t>
            </w:r>
          </w:p>
        </w:tc>
        <w:tc>
          <w:tcPr>
            <w:tcW w:w="697" w:type="dxa"/>
            <w:tcBorders>
              <w:bottom w:val="single" w:sz="8" w:space="0" w:color="A41F35"/>
            </w:tcBorders>
            <w:tcMar>
              <w:bottom w:w="40" w:type="dxa"/>
            </w:tcMar>
            <w:vAlign w:val="center"/>
          </w:tcPr>
          <w:p>
            <w:pPr>
              <w:pStyle w:val="TableContents"/>
              <w:bidi w:val="0"/>
              <w:spacing w:before="0" w:after="283"/>
              <w:jc w:val="right"/>
              <w:rPr/>
            </w:pPr>
            <w:r>
              <w:rPr/>
              <w:t>—</w:t>
            </w:r>
          </w:p>
        </w:tc>
        <w:tc>
          <w:tcPr>
            <w:tcW w:w="30"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79" w:type="dxa"/>
            <w:tcBorders>
              <w:bottom w:val="single" w:sz="8" w:space="0" w:color="A41F35"/>
            </w:tcBorders>
            <w:tcMar>
              <w:bottom w:w="40" w:type="dxa"/>
            </w:tcMar>
            <w:vAlign w:val="center"/>
          </w:tcPr>
          <w:p>
            <w:pPr>
              <w:pStyle w:val="TableContents"/>
              <w:bidi w:val="0"/>
              <w:spacing w:before="0" w:after="283"/>
              <w:jc w:val="right"/>
              <w:rPr/>
            </w:pPr>
            <w:r>
              <w:rPr/>
              <w:t>—</w:t>
            </w:r>
          </w:p>
        </w:tc>
        <w:tc>
          <w:tcPr>
            <w:tcW w:w="2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680" w:type="dxa"/>
            <w:tcBorders>
              <w:bottom w:val="single" w:sz="8" w:space="0" w:color="A41F35"/>
            </w:tcBorders>
            <w:tcMar>
              <w:bottom w:w="40" w:type="dxa"/>
            </w:tcMar>
            <w:vAlign w:val="center"/>
          </w:tcPr>
          <w:p>
            <w:pPr>
              <w:pStyle w:val="TableContents"/>
              <w:bidi w:val="0"/>
              <w:spacing w:before="0" w:after="283"/>
              <w:jc w:val="right"/>
              <w:rPr/>
            </w:pPr>
            <w:r>
              <w:rPr/>
              <w:t>12,127</w:t>
            </w:r>
          </w:p>
        </w:tc>
        <w:tc>
          <w:tcPr>
            <w:tcW w:w="455" w:type="dxa"/>
            <w:tcBorders>
              <w:bottom w:val="single" w:sz="8" w:space="0" w:color="A41F35"/>
            </w:tcBorders>
            <w:tcMar>
              <w:bottom w:w="40" w:type="dxa"/>
            </w:tcMar>
            <w:vAlign w:val="center"/>
          </w:tcPr>
          <w:p>
            <w:pPr>
              <w:pStyle w:val="TableContents"/>
              <w:bidi w:val="0"/>
              <w:spacing w:before="0" w:after="283"/>
              <w:jc w:val="left"/>
              <w:rPr/>
            </w:pPr>
            <w:r>
              <w:rPr/>
              <w:t>(4)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76" w:type="dxa"/>
            <w:tcBorders>
              <w:bottom w:val="single" w:sz="8" w:space="0" w:color="A41F35"/>
            </w:tcBorders>
            <w:tcMar>
              <w:bottom w:w="28" w:type="dxa"/>
            </w:tcMar>
            <w:vAlign w:val="center"/>
          </w:tcPr>
          <w:p>
            <w:pPr>
              <w:pStyle w:val="TableContents"/>
              <w:bidi w:val="0"/>
              <w:spacing w:before="0" w:after="283"/>
              <w:jc w:val="left"/>
              <w:rPr/>
            </w:pPr>
            <w:r>
              <w:rPr/>
              <w:t> </w:t>
            </w:r>
          </w:p>
        </w:tc>
        <w:tc>
          <w:tcPr>
            <w:tcW w:w="76" w:type="dxa"/>
            <w:tcBorders>
              <w:bottom w:val="single" w:sz="8" w:space="0" w:color="A41F35"/>
            </w:tcBorders>
            <w:tcMar>
              <w:bottom w:w="40" w:type="dxa"/>
            </w:tcMar>
            <w:vAlign w:val="center"/>
          </w:tcPr>
          <w:p>
            <w:pPr>
              <w:pStyle w:val="TableContents"/>
              <w:bidi w:val="0"/>
              <w:spacing w:before="0" w:after="283"/>
              <w:jc w:val="left"/>
              <w:rPr/>
            </w:pPr>
            <w:r>
              <w:rPr/>
              <w:t> </w:t>
            </w:r>
          </w:p>
        </w:tc>
        <w:tc>
          <w:tcPr>
            <w:tcW w:w="1257" w:type="dxa"/>
            <w:tcBorders>
              <w:bottom w:val="single" w:sz="8" w:space="0" w:color="A41F35"/>
            </w:tcBorders>
            <w:tcMar>
              <w:bottom w:w="40" w:type="dxa"/>
            </w:tcMar>
            <w:vAlign w:val="center"/>
          </w:tcPr>
          <w:p>
            <w:pPr>
              <w:pStyle w:val="TableContents"/>
              <w:bidi w:val="0"/>
              <w:spacing w:before="0" w:after="283"/>
              <w:jc w:val="right"/>
              <w:rPr/>
            </w:pPr>
            <w:r>
              <w:rPr/>
              <w:t>756,118</w:t>
            </w:r>
          </w:p>
        </w:tc>
        <w:tc>
          <w:tcPr>
            <w:tcW w:w="5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(1)</w:t>
            </w:r>
          </w:p>
        </w:tc>
        <w:tc>
          <w:tcPr>
            <w:tcW w:w="9913" w:type="dxa"/>
            <w:tcBorders/>
            <w:vAlign w:val="center"/>
          </w:tcPr>
          <w:p>
            <w:pPr>
              <w:pStyle w:val="TableContents"/>
              <w:bidi w:val="0"/>
              <w:spacing w:before="0" w:after="0"/>
              <w:jc w:val="left"/>
              <w:rPr>
                <w:rFonts w:ascii="arial" w:hAnsi="arial"/>
                <w:sz w:val="16"/>
              </w:rPr>
            </w:pPr>
            <w:r>
              <w:rPr>
                <w:rFonts w:ascii="arial" w:hAnsi="arial"/>
                <w:sz w:val="16"/>
              </w:rPr>
              <w:t xml:space="preserve">Values for RSUs have been determined using the closing price of a share of our common stock as of December 31, 2024, the last trading day of 2024 ($62.35).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left"/>
              <w:rPr>
                <w:rFonts w:ascii="arial" w:hAnsi="arial"/>
                <w:sz w:val="16"/>
              </w:rPr>
            </w:pPr>
            <w:r>
              <w:rPr>
                <w:rFonts w:ascii="arial" w:hAnsi="arial"/>
                <w:sz w:val="16"/>
              </w:rPr>
              <w:t xml:space="preserve">Options vest as to the underlying shares on a monthly basis over a four-year period from the grant date, which is ten years prior to the applicable expiration date listed in the table above,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(3)</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RSUs vest as to one-third (1/3) of the RSUs on each of the first three anniversaries of February 20, 2023,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RSUs vest as to one-third (1/3) of the RSUs on each of the first three anniversaries of February 23, 2024,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Option vests as to 25% of the underlying shares on December 2, 2025, and as to the remainder of the underlying shares on a monthly basis over three years thereafter,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0"/>
              <w:jc w:val="left"/>
              <w:rPr>
                <w:rFonts w:ascii="arial" w:hAnsi="arial"/>
                <w:sz w:val="16"/>
              </w:rPr>
            </w:pPr>
            <w:r>
              <w:rPr>
                <w:rFonts w:ascii="arial" w:hAnsi="arial"/>
                <w:sz w:val="16"/>
              </w:rPr>
              <w:t xml:space="preserve">RSUs vest as to 25% of the RSUs on each of the first four anniversaries of December 2, 2024,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(7)</w:t>
            </w:r>
          </w:p>
        </w:tc>
        <w:tc>
          <w:tcPr>
            <w:tcW w:w="9936" w:type="dxa"/>
            <w:tcBorders/>
            <w:vAlign w:val="center"/>
          </w:tcPr>
          <w:p>
            <w:pPr>
              <w:pStyle w:val="TableContents"/>
              <w:bidi w:val="0"/>
              <w:spacing w:before="0" w:after="0"/>
              <w:jc w:val="left"/>
              <w:rPr>
                <w:rFonts w:ascii="arial" w:hAnsi="arial"/>
                <w:sz w:val="16"/>
              </w:rPr>
            </w:pPr>
            <w:r>
              <w:rPr>
                <w:rFonts w:ascii="arial" w:hAnsi="arial"/>
                <w:sz w:val="16"/>
              </w:rPr>
              <w:t xml:space="preserve">Option vested as to 25% of the underlying shares on January 23, 2024, and vests as to the remainder of the underlying shares on a monthly basis over three years thereafter,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(8)</w:t>
            </w:r>
          </w:p>
        </w:tc>
        <w:tc>
          <w:tcPr>
            <w:tcW w:w="9915" w:type="dxa"/>
            <w:tcBorders/>
            <w:vAlign w:val="center"/>
          </w:tcPr>
          <w:p>
            <w:pPr>
              <w:pStyle w:val="TableContents"/>
              <w:bidi w:val="0"/>
              <w:spacing w:before="0" w:after="0"/>
              <w:jc w:val="left"/>
              <w:rPr>
                <w:rFonts w:ascii="arial" w:hAnsi="arial"/>
                <w:sz w:val="16"/>
              </w:rPr>
            </w:pPr>
            <w:r>
              <w:rPr>
                <w:rFonts w:ascii="arial" w:hAnsi="arial"/>
                <w:sz w:val="16"/>
              </w:rPr>
              <w:t xml:space="preserve">RSUs vest as to 25% of the RSUs on each of the first four anniversaries of January 23, 2023,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(9)</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Option vested as to 25% of the underlying shares on June 5, 2024, and vests as to the remainder of the underlying shares on a monthly basis over three years thereafter, generally subject to continued service through each such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
        <w:gridCol w:w="9794"/>
      </w:tblGrid>
      <w:tr>
        <w:trPr/>
        <w:tc>
          <w:tcPr>
            <w:tcW w:w="411" w:type="dxa"/>
            <w:tcBorders/>
            <w:vAlign w:val="center"/>
          </w:tcPr>
          <w:p>
            <w:pPr>
              <w:pStyle w:val="TableContents"/>
              <w:bidi w:val="0"/>
              <w:spacing w:before="0" w:after="283"/>
              <w:jc w:val="left"/>
              <w:rPr/>
            </w:pPr>
            <w:r>
              <w:rPr/>
              <w:t>(10)</w:t>
            </w:r>
          </w:p>
        </w:tc>
        <w:tc>
          <w:tcPr>
            <w:tcW w:w="9794" w:type="dxa"/>
            <w:tcBorders/>
            <w:vAlign w:val="center"/>
          </w:tcPr>
          <w:p>
            <w:pPr>
              <w:pStyle w:val="TableContents"/>
              <w:bidi w:val="0"/>
              <w:spacing w:before="0" w:after="0"/>
              <w:jc w:val="left"/>
              <w:rPr>
                <w:rFonts w:ascii="arial" w:hAnsi="arial"/>
                <w:sz w:val="16"/>
              </w:rPr>
            </w:pPr>
            <w:r>
              <w:rPr>
                <w:rFonts w:ascii="arial" w:hAnsi="arial"/>
                <w:sz w:val="16"/>
              </w:rPr>
              <w:t xml:space="preserve">RSUs vest as to 25% of the RSUs on each of the first four anniversaries of June 5, 2023, generally subject to continued service through each such vesting date.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Option Exercises and Stock Vested </w:t>
      </w:r>
    </w:p>
    <w:p>
      <w:pPr>
        <w:pStyle w:val="TextBody"/>
        <w:bidi w:val="0"/>
        <w:spacing w:before="120" w:after="0"/>
        <w:jc w:val="left"/>
        <w:rPr>
          <w:rFonts w:ascii="arial" w:hAnsi="arial"/>
          <w:sz w:val="18"/>
        </w:rPr>
      </w:pPr>
      <w:r>
        <w:rPr>
          <w:rFonts w:ascii="arial" w:hAnsi="arial"/>
          <w:sz w:val="18"/>
        </w:rPr>
        <w:t xml:space="preserve">The following table sets forth certain information for each of our named executive officers regarding stock options exercised and stock awards vested during 2024. </w:t>
      </w:r>
    </w:p>
    <w:p>
      <w:pPr>
        <w:pStyle w:val="TextBody"/>
        <w:bidi w:val="0"/>
        <w:spacing w:before="0" w:after="0"/>
        <w:jc w:val="left"/>
        <w:rPr/>
      </w:pPr>
      <w:r>
        <w:rPr/>
        <w:t> </w:t>
      </w:r>
    </w:p>
    <w:tbl>
      <w:tblPr>
        <w:tblW w:w="8188" w:type="dxa"/>
        <w:jc w:val="left"/>
        <w:tblInd w:w="0" w:type="dxa"/>
        <w:tblLayout w:type="fixed"/>
        <w:tblCellMar>
          <w:top w:w="0" w:type="dxa"/>
          <w:left w:w="0" w:type="dxa"/>
          <w:bottom w:w="0" w:type="dxa"/>
          <w:right w:w="0" w:type="dxa"/>
        </w:tblCellMar>
      </w:tblPr>
      <w:tblGrid>
        <w:gridCol w:w="2285"/>
        <w:gridCol w:w="120"/>
        <w:gridCol w:w="82"/>
        <w:gridCol w:w="82"/>
        <w:gridCol w:w="1098"/>
        <w:gridCol w:w="33"/>
        <w:gridCol w:w="120"/>
        <w:gridCol w:w="70"/>
        <w:gridCol w:w="70"/>
        <w:gridCol w:w="1304"/>
        <w:gridCol w:w="29"/>
        <w:gridCol w:w="60"/>
        <w:gridCol w:w="120"/>
        <w:gridCol w:w="120"/>
        <w:gridCol w:w="94"/>
        <w:gridCol w:w="94"/>
        <w:gridCol w:w="1069"/>
        <w:gridCol w:w="38"/>
        <w:gridCol w:w="120"/>
        <w:gridCol w:w="60"/>
        <w:gridCol w:w="60"/>
        <w:gridCol w:w="980"/>
        <w:gridCol w:w="8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888" w:type="dxa"/>
            <w:gridSpan w:val="9"/>
            <w:tcBorders>
              <w:bottom w:val="single" w:sz="16" w:space="0" w:color="A41F35"/>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2595" w:type="dxa"/>
            <w:gridSpan w:val="9"/>
            <w:tcBorders>
              <w:bottom w:val="single" w:sz="16" w:space="0" w:color="A41F35"/>
            </w:tcBorders>
            <w:tcMar>
              <w:bottom w:w="28" w:type="dxa"/>
            </w:tcMar>
            <w:vAlign w:val="center"/>
          </w:tcPr>
          <w:p>
            <w:pPr>
              <w:pStyle w:val="TableContents"/>
              <w:bidi w:val="0"/>
              <w:spacing w:before="0" w:after="283"/>
              <w:jc w:val="center"/>
              <w:rPr>
                <w:b/>
              </w:rPr>
            </w:pPr>
            <w:r>
              <w:rPr>
                <w:b/>
              </w:rPr>
              <w:t>Stock Awards</w:t>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9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w:t>
              <w:br/>
              <w:t>of Shares</w:t>
              <w:br/>
              <w:t>Acquired on</w:t>
              <w:br/>
              <w:t>Exercise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73"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Value</w:t>
              <w:br/>
              <w:t>Realized on</w:t>
              <w:br/>
              <w:t>Exercise ($)(1)</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9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w:t>
              <w:br/>
              <w:t>of Shares</w:t>
              <w:br/>
              <w:t>Acquired on</w:t>
              <w:br/>
              <w:t>Vesting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8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Value</w:t>
              <w:br/>
              <w:t>Realized</w:t>
              <w:br/>
              <w:t>on Vesting</w:t>
              <w:br/>
              <w:t>($)(2)</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593" w:type="dxa"/>
            <w:gridSpan w:val="5"/>
            <w:tcBorders/>
            <w:shd w:fill="EFECE8" w:val="clear"/>
            <w:vAlign w:val="center"/>
          </w:tcPr>
          <w:p>
            <w:pPr>
              <w:pStyle w:val="TableContents"/>
              <w:bidi w:val="0"/>
              <w:spacing w:before="0" w:after="283"/>
              <w:jc w:val="left"/>
              <w:rPr>
                <w:sz w:val="4"/>
                <w:szCs w:val="4"/>
              </w:rPr>
            </w:pPr>
            <w:r>
              <w:rPr>
                <w:sz w:val="4"/>
                <w:szCs w:val="4"/>
              </w:rPr>
            </w:r>
          </w:p>
        </w:tc>
        <w:tc>
          <w:tcPr>
            <w:tcW w:w="180" w:type="dxa"/>
            <w:gridSpan w:val="2"/>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3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1098" w:type="dxa"/>
            <w:tcBorders/>
            <w:shd w:fill="EFECE8" w:val="clear"/>
            <w:vAlign w:val="center"/>
          </w:tcPr>
          <w:p>
            <w:pPr>
              <w:pStyle w:val="TableContents"/>
              <w:bidi w:val="0"/>
              <w:spacing w:before="0" w:after="283"/>
              <w:jc w:val="right"/>
              <w:rPr/>
            </w:pPr>
            <w:r>
              <w:rPr/>
              <w:t>198,750</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1304" w:type="dxa"/>
            <w:tcBorders/>
            <w:shd w:fill="EFECE8" w:val="clear"/>
            <w:vAlign w:val="center"/>
          </w:tcPr>
          <w:p>
            <w:pPr>
              <w:pStyle w:val="TableContents"/>
              <w:bidi w:val="0"/>
              <w:spacing w:before="0" w:after="283"/>
              <w:jc w:val="right"/>
              <w:rPr/>
            </w:pPr>
            <w:r>
              <w:rPr/>
              <w:t>24,642,728</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1069" w:type="dxa"/>
            <w:tcBorders/>
            <w:shd w:fill="EFECE8" w:val="clear"/>
            <w:vAlign w:val="center"/>
          </w:tcPr>
          <w:p>
            <w:pPr>
              <w:pStyle w:val="TableContents"/>
              <w:bidi w:val="0"/>
              <w:spacing w:before="0" w:after="283"/>
              <w:jc w:val="right"/>
              <w:rPr/>
            </w:pPr>
            <w:r>
              <w:rPr/>
              <w:t>12,444</w:t>
            </w:r>
          </w:p>
        </w:tc>
        <w:tc>
          <w:tcPr>
            <w:tcW w:w="3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1,102,663</w:t>
            </w:r>
          </w:p>
        </w:tc>
        <w:tc>
          <w:tcPr>
            <w:tcW w:w="80" w:type="dxa"/>
            <w:tcBorders/>
            <w:shd w:fill="EFECE8"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80"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593" w:type="dxa"/>
            <w:gridSpan w:val="5"/>
            <w:tcBorders/>
            <w:shd w:fill="EFECE8" w:val="clear"/>
            <w:vAlign w:val="center"/>
          </w:tcPr>
          <w:p>
            <w:pPr>
              <w:pStyle w:val="TableContents"/>
              <w:bidi w:val="0"/>
              <w:spacing w:before="0" w:after="283"/>
              <w:jc w:val="left"/>
              <w:rPr>
                <w:sz w:val="4"/>
                <w:szCs w:val="4"/>
              </w:rPr>
            </w:pPr>
            <w:r>
              <w:rPr>
                <w:sz w:val="4"/>
                <w:szCs w:val="4"/>
              </w:rPr>
            </w:r>
          </w:p>
        </w:tc>
        <w:tc>
          <w:tcPr>
            <w:tcW w:w="180" w:type="dxa"/>
            <w:gridSpan w:val="2"/>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3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1098" w:type="dxa"/>
            <w:tcBorders/>
            <w:shd w:fill="EFECE8" w:val="clear"/>
            <w:vAlign w:val="center"/>
          </w:tcPr>
          <w:p>
            <w:pPr>
              <w:pStyle w:val="TableContents"/>
              <w:bidi w:val="0"/>
              <w:spacing w:before="0" w:after="283"/>
              <w:jc w:val="right"/>
              <w:rPr/>
            </w:pPr>
            <w:r>
              <w:rPr/>
              <w:t>132,125</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1304" w:type="dxa"/>
            <w:tcBorders/>
            <w:shd w:fill="EFECE8" w:val="clear"/>
            <w:vAlign w:val="center"/>
          </w:tcPr>
          <w:p>
            <w:pPr>
              <w:pStyle w:val="TableContents"/>
              <w:bidi w:val="0"/>
              <w:spacing w:before="0" w:after="283"/>
              <w:jc w:val="right"/>
              <w:rPr/>
            </w:pPr>
            <w:r>
              <w:rPr/>
              <w:t>10,194,814</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1069" w:type="dxa"/>
            <w:tcBorders/>
            <w:shd w:fill="EFECE8" w:val="clear"/>
            <w:vAlign w:val="center"/>
          </w:tcPr>
          <w:p>
            <w:pPr>
              <w:pStyle w:val="TableContents"/>
              <w:bidi w:val="0"/>
              <w:spacing w:before="0" w:after="283"/>
              <w:jc w:val="right"/>
              <w:rPr/>
            </w:pPr>
            <w:r>
              <w:rPr/>
              <w:t>4,359</w:t>
            </w:r>
          </w:p>
        </w:tc>
        <w:tc>
          <w:tcPr>
            <w:tcW w:w="3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386,251</w:t>
            </w:r>
          </w:p>
        </w:tc>
        <w:tc>
          <w:tcPr>
            <w:tcW w:w="80"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10,000</w:t>
            </w:r>
          </w:p>
        </w:tc>
        <w:tc>
          <w:tcPr>
            <w:tcW w:w="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4" w:type="dxa"/>
            <w:tcBorders/>
            <w:vAlign w:val="center"/>
          </w:tcPr>
          <w:p>
            <w:pPr>
              <w:pStyle w:val="TableContents"/>
              <w:bidi w:val="0"/>
              <w:spacing w:before="0" w:after="283"/>
              <w:jc w:val="right"/>
              <w:rPr/>
            </w:pPr>
            <w:r>
              <w:rPr/>
              <w:t>1,062,782</w:t>
            </w:r>
          </w:p>
        </w:tc>
        <w:tc>
          <w:tcPr>
            <w:tcW w:w="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3,222</w:t>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273,644</w:t>
            </w:r>
          </w:p>
        </w:tc>
        <w:tc>
          <w:tcPr>
            <w:tcW w:w="80" w:type="dxa"/>
            <w:tcBorders/>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593" w:type="dxa"/>
            <w:gridSpan w:val="5"/>
            <w:tcBorders/>
            <w:shd w:fill="EFECE8" w:val="clear"/>
            <w:vAlign w:val="center"/>
          </w:tcPr>
          <w:p>
            <w:pPr>
              <w:pStyle w:val="TableContents"/>
              <w:bidi w:val="0"/>
              <w:spacing w:before="0" w:after="283"/>
              <w:jc w:val="left"/>
              <w:rPr>
                <w:sz w:val="4"/>
                <w:szCs w:val="4"/>
              </w:rPr>
            </w:pPr>
            <w:r>
              <w:rPr>
                <w:sz w:val="4"/>
                <w:szCs w:val="4"/>
              </w:rPr>
            </w:r>
          </w:p>
        </w:tc>
        <w:tc>
          <w:tcPr>
            <w:tcW w:w="180" w:type="dxa"/>
            <w:gridSpan w:val="2"/>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c>
          <w:tcPr>
            <w:tcW w:w="130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82" w:type="dxa"/>
            <w:tcBorders/>
            <w:shd w:fill="EFECE8" w:val="clear"/>
            <w:vAlign w:val="center"/>
          </w:tcPr>
          <w:p>
            <w:pPr>
              <w:pStyle w:val="TableContents"/>
              <w:bidi w:val="0"/>
              <w:spacing w:before="0" w:after="283"/>
              <w:jc w:val="left"/>
              <w:rPr/>
            </w:pPr>
            <w:r>
              <w:rPr/>
              <w:t> </w:t>
            </w:r>
          </w:p>
        </w:tc>
        <w:tc>
          <w:tcPr>
            <w:tcW w:w="1098" w:type="dxa"/>
            <w:tcBorders/>
            <w:shd w:fill="EFECE8" w:val="clear"/>
            <w:vAlign w:val="center"/>
          </w:tcPr>
          <w:p>
            <w:pPr>
              <w:pStyle w:val="TableContents"/>
              <w:bidi w:val="0"/>
              <w:spacing w:before="0" w:after="283"/>
              <w:jc w:val="right"/>
              <w:rPr/>
            </w:pPr>
            <w:r>
              <w:rPr/>
              <w:t>4,289</w:t>
            </w:r>
          </w:p>
        </w:tc>
        <w:tc>
          <w:tcPr>
            <w:tcW w:w="33"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70" w:type="dxa"/>
            <w:tcBorders/>
            <w:shd w:fill="EFECE8" w:val="clear"/>
            <w:vAlign w:val="center"/>
          </w:tcPr>
          <w:p>
            <w:pPr>
              <w:pStyle w:val="TableContents"/>
              <w:bidi w:val="0"/>
              <w:spacing w:before="0" w:after="283"/>
              <w:jc w:val="left"/>
              <w:rPr/>
            </w:pPr>
            <w:r>
              <w:rPr/>
              <w:t> </w:t>
            </w:r>
          </w:p>
        </w:tc>
        <w:tc>
          <w:tcPr>
            <w:tcW w:w="1304" w:type="dxa"/>
            <w:tcBorders/>
            <w:shd w:fill="EFECE8" w:val="clear"/>
            <w:vAlign w:val="center"/>
          </w:tcPr>
          <w:p>
            <w:pPr>
              <w:pStyle w:val="TableContents"/>
              <w:bidi w:val="0"/>
              <w:spacing w:before="0" w:after="283"/>
              <w:jc w:val="right"/>
              <w:rPr/>
            </w:pPr>
            <w:r>
              <w:rPr/>
              <w:t>222,899</w:t>
            </w:r>
          </w:p>
        </w:tc>
        <w:tc>
          <w:tcPr>
            <w:tcW w:w="29"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94" w:type="dxa"/>
            <w:tcBorders/>
            <w:shd w:fill="EFECE8" w:val="clear"/>
            <w:vAlign w:val="center"/>
          </w:tcPr>
          <w:p>
            <w:pPr>
              <w:pStyle w:val="TableContents"/>
              <w:bidi w:val="0"/>
              <w:spacing w:before="0" w:after="283"/>
              <w:jc w:val="left"/>
              <w:rPr/>
            </w:pPr>
            <w:r>
              <w:rPr/>
              <w:t> </w:t>
            </w:r>
          </w:p>
        </w:tc>
        <w:tc>
          <w:tcPr>
            <w:tcW w:w="1069" w:type="dxa"/>
            <w:tcBorders/>
            <w:shd w:fill="EFECE8" w:val="clear"/>
            <w:vAlign w:val="center"/>
          </w:tcPr>
          <w:p>
            <w:pPr>
              <w:pStyle w:val="TableContents"/>
              <w:bidi w:val="0"/>
              <w:spacing w:before="0" w:after="283"/>
              <w:jc w:val="right"/>
              <w:rPr/>
            </w:pPr>
            <w:r>
              <w:rPr/>
              <w:t>2,378</w:t>
            </w:r>
          </w:p>
        </w:tc>
        <w:tc>
          <w:tcPr>
            <w:tcW w:w="38"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321,244</w:t>
            </w:r>
          </w:p>
        </w:tc>
        <w:tc>
          <w:tcPr>
            <w:tcW w:w="80" w:type="dxa"/>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593" w:type="dxa"/>
            <w:gridSpan w:val="5"/>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8" w:space="0" w:color="A41F35"/>
            </w:tcBorders>
            <w:tcMar>
              <w:bottom w:w="40" w:type="dxa"/>
            </w:tcMar>
            <w:vAlign w:val="center"/>
          </w:tcPr>
          <w:p>
            <w:pPr>
              <w:pStyle w:val="TableContents"/>
              <w:bidi w:val="0"/>
              <w:spacing w:before="0" w:after="0"/>
              <w:jc w:val="left"/>
              <w:rPr>
                <w:rFonts w:ascii="arial" w:hAnsi="arial"/>
                <w:sz w:val="18"/>
              </w:rPr>
            </w:pPr>
            <w:r>
              <w:rPr>
                <w:rFonts w:ascii="arial" w:hAnsi="arial"/>
                <w:sz w:val="18"/>
              </w:rPr>
              <w:t>Stephen Gordon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2" w:type="dxa"/>
            <w:tcBorders>
              <w:bottom w:val="single" w:sz="8" w:space="0" w:color="A41F35"/>
            </w:tcBorders>
            <w:tcMar>
              <w:bottom w:w="28" w:type="dxa"/>
            </w:tcMar>
            <w:vAlign w:val="center"/>
          </w:tcPr>
          <w:p>
            <w:pPr>
              <w:pStyle w:val="TableContents"/>
              <w:bidi w:val="0"/>
              <w:spacing w:before="0" w:after="283"/>
              <w:jc w:val="left"/>
              <w:rPr/>
            </w:pPr>
            <w:r>
              <w:rPr/>
              <w:t> </w:t>
            </w:r>
          </w:p>
        </w:tc>
        <w:tc>
          <w:tcPr>
            <w:tcW w:w="82" w:type="dxa"/>
            <w:tcBorders>
              <w:bottom w:val="single" w:sz="8" w:space="0" w:color="A41F35"/>
            </w:tcBorders>
            <w:tcMar>
              <w:bottom w:w="40" w:type="dxa"/>
            </w:tcMar>
            <w:vAlign w:val="center"/>
          </w:tcPr>
          <w:p>
            <w:pPr>
              <w:pStyle w:val="TableContents"/>
              <w:bidi w:val="0"/>
              <w:spacing w:before="0" w:after="283"/>
              <w:jc w:val="left"/>
              <w:rPr/>
            </w:pPr>
            <w:r>
              <w:rPr/>
              <w:t> </w:t>
            </w:r>
          </w:p>
        </w:tc>
        <w:tc>
          <w:tcPr>
            <w:tcW w:w="1098" w:type="dxa"/>
            <w:tcBorders>
              <w:bottom w:val="single" w:sz="8" w:space="0" w:color="A41F35"/>
            </w:tcBorders>
            <w:tcMar>
              <w:bottom w:w="40" w:type="dxa"/>
            </w:tcMar>
            <w:vAlign w:val="center"/>
          </w:tcPr>
          <w:p>
            <w:pPr>
              <w:pStyle w:val="TableContents"/>
              <w:bidi w:val="0"/>
              <w:spacing w:before="0" w:after="283"/>
              <w:jc w:val="right"/>
              <w:rPr/>
            </w:pPr>
            <w:r>
              <w:rPr/>
              <w:t>95,060</w:t>
            </w:r>
          </w:p>
        </w:tc>
        <w:tc>
          <w:tcPr>
            <w:tcW w:w="33"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70" w:type="dxa"/>
            <w:tcBorders>
              <w:bottom w:val="single" w:sz="8" w:space="0" w:color="A41F35"/>
            </w:tcBorders>
            <w:tcMar>
              <w:bottom w:w="28" w:type="dxa"/>
            </w:tcMar>
            <w:vAlign w:val="center"/>
          </w:tcPr>
          <w:p>
            <w:pPr>
              <w:pStyle w:val="TableContents"/>
              <w:bidi w:val="0"/>
              <w:spacing w:before="0" w:after="283"/>
              <w:jc w:val="left"/>
              <w:rPr/>
            </w:pPr>
            <w:r>
              <w:rPr/>
              <w:t> </w:t>
            </w:r>
          </w:p>
        </w:tc>
        <w:tc>
          <w:tcPr>
            <w:tcW w:w="70" w:type="dxa"/>
            <w:tcBorders>
              <w:bottom w:val="single" w:sz="8" w:space="0" w:color="A41F35"/>
            </w:tcBorders>
            <w:tcMar>
              <w:bottom w:w="40" w:type="dxa"/>
            </w:tcMar>
            <w:vAlign w:val="center"/>
          </w:tcPr>
          <w:p>
            <w:pPr>
              <w:pStyle w:val="TableContents"/>
              <w:bidi w:val="0"/>
              <w:spacing w:before="0" w:after="283"/>
              <w:jc w:val="left"/>
              <w:rPr/>
            </w:pPr>
            <w:r>
              <w:rPr/>
              <w:t> </w:t>
            </w:r>
          </w:p>
        </w:tc>
        <w:tc>
          <w:tcPr>
            <w:tcW w:w="1304" w:type="dxa"/>
            <w:tcBorders>
              <w:bottom w:val="single" w:sz="8" w:space="0" w:color="A41F35"/>
            </w:tcBorders>
            <w:tcMar>
              <w:bottom w:w="40" w:type="dxa"/>
            </w:tcMar>
            <w:vAlign w:val="center"/>
          </w:tcPr>
          <w:p>
            <w:pPr>
              <w:pStyle w:val="TableContents"/>
              <w:bidi w:val="0"/>
              <w:spacing w:before="0" w:after="283"/>
              <w:jc w:val="right"/>
              <w:rPr/>
            </w:pPr>
            <w:r>
              <w:rPr/>
              <w:t>6,725,779</w:t>
            </w:r>
          </w:p>
        </w:tc>
        <w:tc>
          <w:tcPr>
            <w:tcW w:w="29"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120" w:type="dxa"/>
            <w:tcBorders>
              <w:bottom w:val="single" w:sz="8" w:space="0" w:color="A41F35"/>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94" w:type="dxa"/>
            <w:tcBorders>
              <w:bottom w:val="single" w:sz="8" w:space="0" w:color="A41F35"/>
            </w:tcBorders>
            <w:tcMar>
              <w:bottom w:w="28" w:type="dxa"/>
            </w:tcMar>
            <w:vAlign w:val="center"/>
          </w:tcPr>
          <w:p>
            <w:pPr>
              <w:pStyle w:val="TableContents"/>
              <w:bidi w:val="0"/>
              <w:spacing w:before="0" w:after="283"/>
              <w:jc w:val="left"/>
              <w:rPr/>
            </w:pPr>
            <w:r>
              <w:rPr/>
              <w:t> </w:t>
            </w:r>
          </w:p>
        </w:tc>
        <w:tc>
          <w:tcPr>
            <w:tcW w:w="94" w:type="dxa"/>
            <w:tcBorders>
              <w:bottom w:val="single" w:sz="8" w:space="0" w:color="A41F35"/>
            </w:tcBorders>
            <w:tcMar>
              <w:bottom w:w="40" w:type="dxa"/>
            </w:tcMar>
            <w:vAlign w:val="center"/>
          </w:tcPr>
          <w:p>
            <w:pPr>
              <w:pStyle w:val="TableContents"/>
              <w:bidi w:val="0"/>
              <w:spacing w:before="0" w:after="283"/>
              <w:jc w:val="left"/>
              <w:rPr/>
            </w:pPr>
            <w:r>
              <w:rPr/>
              <w:t> </w:t>
            </w:r>
          </w:p>
        </w:tc>
        <w:tc>
          <w:tcPr>
            <w:tcW w:w="1069" w:type="dxa"/>
            <w:tcBorders>
              <w:bottom w:val="single" w:sz="8" w:space="0" w:color="A41F35"/>
            </w:tcBorders>
            <w:tcMar>
              <w:bottom w:w="40" w:type="dxa"/>
            </w:tcMar>
            <w:vAlign w:val="center"/>
          </w:tcPr>
          <w:p>
            <w:pPr>
              <w:pStyle w:val="TableContents"/>
              <w:bidi w:val="0"/>
              <w:spacing w:before="0" w:after="283"/>
              <w:jc w:val="right"/>
              <w:rPr/>
            </w:pPr>
            <w:r>
              <w:rPr/>
              <w:t>4,359</w:t>
            </w:r>
          </w:p>
        </w:tc>
        <w:tc>
          <w:tcPr>
            <w:tcW w:w="38"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283"/>
              <w:jc w:val="left"/>
              <w:rPr/>
            </w:pPr>
            <w:r>
              <w:rPr/>
              <w:t> </w:t>
            </w:r>
          </w:p>
        </w:tc>
        <w:tc>
          <w:tcPr>
            <w:tcW w:w="980" w:type="dxa"/>
            <w:tcBorders>
              <w:bottom w:val="single" w:sz="8" w:space="0" w:color="A41F35"/>
            </w:tcBorders>
            <w:tcMar>
              <w:bottom w:w="40" w:type="dxa"/>
            </w:tcMar>
            <w:vAlign w:val="center"/>
          </w:tcPr>
          <w:p>
            <w:pPr>
              <w:pStyle w:val="TableContents"/>
              <w:bidi w:val="0"/>
              <w:spacing w:before="0" w:after="283"/>
              <w:jc w:val="right"/>
              <w:rPr/>
            </w:pPr>
            <w:r>
              <w:rPr/>
              <w:t>386,251</w:t>
            </w:r>
          </w:p>
        </w:tc>
        <w:tc>
          <w:tcPr>
            <w:tcW w:w="80" w:type="dxa"/>
            <w:tcBorders>
              <w:bottom w:val="single" w:sz="8" w:space="0" w:color="A41F35"/>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are based on the per share closing price of a share of our common stock on the Nasdaq Stock Market on the date the applicable stock options were exercised and represent the difference between such closing price and the exercise price of the stock option, multiplied by the number of shares acquired upon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are based on the per share closing price of a share of our common stock on the Nasdaq Stock Market on the date the applicable stock awards vested, multiplied by the number of shares acquired upon vesting.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Pension Benefits and Nonqualified Deferred Compensation </w:t>
      </w:r>
    </w:p>
    <w:p>
      <w:pPr>
        <w:pStyle w:val="TextBody"/>
        <w:bidi w:val="0"/>
        <w:spacing w:before="120" w:after="0"/>
        <w:jc w:val="left"/>
        <w:rPr>
          <w:rFonts w:ascii="arial" w:hAnsi="arial"/>
          <w:sz w:val="18"/>
        </w:rPr>
      </w:pPr>
      <w:r>
        <w:rPr>
          <w:rFonts w:ascii="arial" w:hAnsi="arial"/>
          <w:sz w:val="18"/>
        </w:rPr>
        <w:t xml:space="preserve">None of our named executive officers participated in or received benefits from a pension plan or from a nonqualified deferred compensation plan during 2024 or in any prior year.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38</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z w:val="28"/>
        </w:rPr>
      </w:pPr>
      <w:r>
        <w:rPr>
          <w:rFonts w:ascii="arial" w:hAnsi="arial"/>
          <w:b/>
          <w:color w:val="A41F35"/>
          <w:sz w:val="28"/>
        </w:rPr>
        <w:t xml:space="preserve">Potential Payments Upon Termination or Change in Control </w:t>
      </w:r>
    </w:p>
    <w:p>
      <w:pPr>
        <w:pStyle w:val="TextBody"/>
        <w:bidi w:val="0"/>
        <w:spacing w:before="120" w:after="0"/>
        <w:jc w:val="left"/>
        <w:rPr>
          <w:rFonts w:ascii="arial" w:hAnsi="arial"/>
          <w:sz w:val="18"/>
        </w:rPr>
      </w:pPr>
      <w:r>
        <w:rPr>
          <w:rFonts w:ascii="arial" w:hAnsi="arial"/>
          <w:sz w:val="18"/>
        </w:rPr>
        <w:t xml:space="preserve">We have entered into offer letters with Mr. Hernandez, Dr. Khayal, Mr. Corcoran and Mr. Ranganath that set forth the initial terms and conditions of the executive’s employment with us. We have also entered into a retention agreement with each of Dr. Hassanein, Dr. Khayal and Mr. Ranganath that provides for severance payments and benefits in the event the named executive officer’s employment is terminated in certain circumstances. Mr. Corcoran’s offer letter provides for severance payments and benefits in connection with certain terminations of employment. Prior to his termination of employment, we had been party to an offer letter and a retention agreement, as amended, with Mr. Gordon. In connection with his transition and termination of employment, we entered into a transition and separation agreement with Mr. Gordon (the “Transition Agreement”). In addition, each of our named executive officers has entered into an invention and non-disclosure agreement and a non-competition and non-solicitation agreement with us. The material terms of these agreements are summarized below. As used in the summary below, the terms “cause,” “disability,” “good reason” and “change in control” have the meanings set forth in the applicable agreement. </w:t>
      </w:r>
    </w:p>
    <w:p>
      <w:pPr>
        <w:pStyle w:val="TextBody"/>
        <w:bidi w:val="0"/>
        <w:spacing w:before="160" w:after="0"/>
        <w:jc w:val="left"/>
        <w:rPr>
          <w:rFonts w:ascii="arial" w:hAnsi="arial"/>
          <w:sz w:val="18"/>
        </w:rPr>
      </w:pPr>
      <w:r>
        <w:rPr>
          <w:rFonts w:ascii="arial" w:hAnsi="arial"/>
          <w:i/>
          <w:sz w:val="18"/>
        </w:rPr>
        <w:t>Dr.</w:t>
      </w:r>
      <w:r>
        <w:rPr>
          <w:rFonts w:ascii="arial" w:hAnsi="arial"/>
          <w:sz w:val="18"/>
        </w:rPr>
        <w:t> </w:t>
      </w:r>
      <w:r>
        <w:rPr>
          <w:rFonts w:ascii="arial" w:hAnsi="arial"/>
          <w:i/>
          <w:sz w:val="18"/>
        </w:rPr>
        <w:t>Hassanein.</w:t>
      </w:r>
      <w:r>
        <w:rPr>
          <w:rFonts w:ascii="arial" w:hAnsi="arial"/>
          <w:sz w:val="18"/>
        </w:rPr>
        <w:t xml:space="preserve"> Pursuant to his retention agreement, Dr. Hassanein is entitled to severance payments and benefits in the event we terminate his employment other than for cause (and other than due to his death or disability) or if Dr. Hassanein resigns for good reason. If his employment terminates in such circumstances, Dr. Hassanein will be entitled to receive (i) an amount equal to the sum of his highest annual base salary during the preceding three years and his highest annual bonus during the preceding three years, payable in 12 monthly installments; (ii) Company-provided benefits for up to 12 months; (iii) an additional 12 months of service credit for purposes of eligibility for any retiree benefits; and (iv) any accrued but unpaid compensation and benefits, including a prorated annual bonus for the year in which his employment terminates, based on Dr. Hassanein’s annual bonus for the preceding year, subject, in each case, to his execution of a release of claims and compliance with the material provisions of any employment, consulting, advisory, nondisclosure, non-competition or similar agreement with us. If his employment terminates in such circumstances either in connection with or in anticipation of, or within 24 months following, a change in control, then, in lieu of the payments and benefits described above, Dr. Hassanein will be entitled to receive (A) an amount equal to one and one-half (1.5) times the sum of his highest annual base salary during the preceding three years and his highest annual bonus during the preceding three years, payable in a lump sum; (B) Company-provided benefits for up to 18 months; (C) an additional 18 months of service credit for purposes of eligibility for any retiree benefits; (D) accelerated vesting of all of his then-outstanding and unvested stock options, restricted stock, and other equity-based awards; and (E) any accrued but unpaid compensation and benefits, including a prorated annual bonus for the year in which his employment terminates, based on Dr. Hassanein’s annual bonus for the preceding year. </w:t>
      </w:r>
    </w:p>
    <w:p>
      <w:pPr>
        <w:pStyle w:val="TextBody"/>
        <w:bidi w:val="0"/>
        <w:spacing w:before="160" w:after="0"/>
        <w:jc w:val="left"/>
        <w:rPr>
          <w:rFonts w:ascii="arial" w:hAnsi="arial"/>
          <w:sz w:val="18"/>
        </w:rPr>
      </w:pPr>
      <w:r>
        <w:rPr>
          <w:rFonts w:ascii="arial" w:hAnsi="arial"/>
          <w:i/>
          <w:sz w:val="18"/>
        </w:rPr>
        <w:t>Mr.</w:t>
      </w:r>
      <w:r>
        <w:rPr>
          <w:rFonts w:ascii="arial" w:hAnsi="arial"/>
          <w:sz w:val="18"/>
        </w:rPr>
        <w:t> </w:t>
      </w:r>
      <w:r>
        <w:rPr>
          <w:rFonts w:ascii="arial" w:hAnsi="arial"/>
          <w:i/>
          <w:sz w:val="18"/>
        </w:rPr>
        <w:t>Hernandez.</w:t>
      </w:r>
      <w:r>
        <w:rPr>
          <w:rFonts w:ascii="arial" w:hAnsi="arial"/>
          <w:sz w:val="18"/>
        </w:rPr>
        <w:t xml:space="preserve"> Pursuant to his retention agreement, Mr. Hernandez is entitled to severance payments and benefits in the event we terminate his employment other than for cause (and other than due to his death or disability) or if Mr. Hernandez resigns for good reason. If his employment terminates in such circumstances after the 12-month anniversary of the date he commenced employment and prior to a change in control, Mr. Hernandez will be entitled to receive (i) an amount equal to the sum of his highest annual base salary during the preceding three years and his highest annual bonus during the preceding three years (reduced by any noncompetition payments payable to Mr. Hernandez during the same period), payable in 12 monthly installments; (ii) Company-provided group health insurance benefits for up to 12 months; and (iii) any accrued but unpaid compensation and benefits, including a prorated annual bonus for the year in which his employment terminates, based on Mr. Hernandez’s annual bonus for the preceding year, subject, in each case, to his execution of a release of claims and compliance with the material provisions of any employment, consulting, advisory, nondisclosure, noncompetition or similar agreement with us. If his employment terminates in such circumstances either in connection with or in anticipation of, or within 24 months following, a change in control, then, in lieu of the payments and benefits described above, Mr. Hernandez will be entitled to receive (A) an amount equal to the sum of (x) one and one-half (1.5) times his highest annual base salary during the preceding three years, (y) his highest annual bonus during the preceding three years, and (z) his target annual bonus for the year in which his employment terminates, payable in a lump sum; (B) Company-provided group health insurance benefits for up to 18 months; (C) accelerated vesting of all of his then-outstanding and unvested stock options, restricted stock units, and other equity-based awards (with any performance-based equity awards vesting at target levels); and (D) any accrued but unpaid compensation and benefits, including a prorated annual bonus for the year in which his employment terminates, based on Mr. Hernandez’s annual bonus for the preceding year.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sz w:val="18"/>
        </w:rPr>
        <w:t>Dr.</w:t>
      </w:r>
      <w:r>
        <w:rPr>
          <w:rFonts w:ascii="arial" w:hAnsi="arial"/>
          <w:sz w:val="18"/>
        </w:rPr>
        <w:t> </w:t>
      </w:r>
      <w:r>
        <w:rPr>
          <w:rFonts w:ascii="arial" w:hAnsi="arial"/>
          <w:i/>
          <w:sz w:val="18"/>
        </w:rPr>
        <w:t>Khayal.</w:t>
      </w:r>
      <w:r>
        <w:rPr>
          <w:rFonts w:ascii="arial" w:hAnsi="arial"/>
          <w:sz w:val="18"/>
        </w:rPr>
        <w:t xml:space="preserve"> Pursuant to his retention agreement, Dr. Khayal is entitled to severance payments and benefits in the event we terminate his employment other than for cause (and other than due to his death or disability) or if Dr. Khayal resigns for good reason. If his employment terminates in such circumstances, Dr. Khayal will be entitled to receive (i) an amount equal to three-fourths (.75) times the sum of his highest annual base salary during the preceding three years and his highest annual bonus during the preceding three years, payable in nine monthly installments; (ii) Company-provided benefits for up to nine months; (iii) an additional nine months of service credit for purposes of eligibility for any retiree benefits; and (iv) any accrued but unpaid compensation and benefits, including a prorated annual bonus for the year in which his employment terminates, based on Dr. Khayal’s annual bonus for the preceding year, subject, in each case, to his execution of a release of claims and compliance with the material provisions of any employment, consulting, advisory, nondisclosure, non-competition or similar agreement with us. If his employment terminates in such circumstances either in connection with or in anticipation of, or within 24 months following, a change in control, then, in lieu of the payments and benefits described above, Dr. Khayal will be entitled to receive (A) an amount equal to the sum of his highest annual base salary during the preceding three years and his highest annual bonus during the preceding three years, payable in a lump sum; (B) Company-provided benefits for up to 12 months; (C) an additional 12 months of service credit for purposes of eligibility for any retiree benefits; (D) accelerated vesting of all of his then-outstanding and unvested stock options, restricted stock, and other equity-based awards; and (E) any accrued but unpaid compensation and benefits, including a prorated annual bonus for the year in which his employment terminates, based on Dr. Khayal’s annual bonus for the preceding year. </w:t>
      </w:r>
    </w:p>
    <w:p>
      <w:pPr>
        <w:pStyle w:val="TextBody"/>
        <w:bidi w:val="0"/>
        <w:spacing w:before="160" w:after="0"/>
        <w:jc w:val="left"/>
        <w:rPr>
          <w:rFonts w:ascii="arial" w:hAnsi="arial"/>
          <w:sz w:val="18"/>
        </w:rPr>
      </w:pPr>
      <w:r>
        <w:rPr>
          <w:rFonts w:ascii="arial" w:hAnsi="arial"/>
          <w:i/>
          <w:sz w:val="18"/>
        </w:rPr>
        <w:t>Mr.</w:t>
      </w:r>
      <w:r>
        <w:rPr>
          <w:rFonts w:ascii="arial" w:hAnsi="arial"/>
          <w:sz w:val="18"/>
        </w:rPr>
        <w:t> </w:t>
      </w:r>
      <w:r>
        <w:rPr>
          <w:rFonts w:ascii="arial" w:hAnsi="arial"/>
          <w:i/>
          <w:sz w:val="18"/>
        </w:rPr>
        <w:t>Corcoran.</w:t>
      </w:r>
      <w:r>
        <w:rPr>
          <w:rFonts w:ascii="arial" w:hAnsi="arial"/>
          <w:sz w:val="18"/>
        </w:rPr>
        <w:t xml:space="preserve"> Pursuant to his offer letter, Mr. Corcoran is entitled to severance payments and benefits in the event we terminate his employment other than for cause (and other than due to his death or disability) or if Mr. Corcoran resigns for good reason. If his employment terminates in such circumstances after the 12-month anniversary of the date he commenced employment and prior to a change in control, Mr. Corcoran will be entitled to receive (i) continued base salary for six months (reduced by any noncompetition payments payable to Mr. Corcoran during the same period), payable on regularly scheduled pay periods; (ii) any earned but unpaid annual bonus for the preceding year; (iii) Company-provided group health insurance benefits for up to six months; and (iv) accrued but unpaid salary and pay for accrued but unused vacation, subject, in each case, to his execution of a release of claims and compliance with the material provisions of any employment, consulting, advisory, nondisclosure, non-competition or similar agreement with us. If his employment terminates in such circumstances after the 12-month anniversary of the date he commenced employment and within 24 months following a change in control, then, in lieu of the payments and benefits described above, Mr. Corcoran will be entitled to receive (A) continued base salary for nine months (reduced by any noncompetition payments payable to Mr. Corcoran during the same period), payable on regularly scheduled pay periods; (B) his target annual bonus for the year in which his employment terminates; (C) Company-provided group health insurance benefits for up to nine months; (D) accelerated vesting of all of his then-outstanding and unvested stock options and other equity-based awards (with any performance-based equity awards vesting at target levels); and (E) accrued but unpaid salary and pay for accrued but unused vacation. </w:t>
      </w:r>
    </w:p>
    <w:p>
      <w:pPr>
        <w:pStyle w:val="TextBody"/>
        <w:bidi w:val="0"/>
        <w:spacing w:before="160" w:after="0"/>
        <w:jc w:val="left"/>
        <w:rPr>
          <w:rFonts w:ascii="arial" w:hAnsi="arial"/>
          <w:sz w:val="18"/>
        </w:rPr>
      </w:pPr>
      <w:r>
        <w:rPr>
          <w:rFonts w:ascii="arial" w:hAnsi="arial"/>
          <w:i/>
          <w:sz w:val="18"/>
        </w:rPr>
        <w:t>Mr.</w:t>
      </w:r>
      <w:r>
        <w:rPr>
          <w:rFonts w:ascii="arial" w:hAnsi="arial"/>
          <w:sz w:val="18"/>
        </w:rPr>
        <w:t> </w:t>
      </w:r>
      <w:r>
        <w:rPr>
          <w:rFonts w:ascii="arial" w:hAnsi="arial"/>
          <w:i/>
          <w:sz w:val="18"/>
        </w:rPr>
        <w:t>Ranganath.</w:t>
      </w:r>
      <w:r>
        <w:rPr>
          <w:rFonts w:ascii="arial" w:hAnsi="arial"/>
          <w:sz w:val="18"/>
        </w:rPr>
        <w:t xml:space="preserve"> Pursuant to his retention agreement, Mr. Ranganath is entitled to severance payments and benefits in the event we terminate his employment other than for cause (and other than due to his death or disability) or if Mr. Ranganath resigns for good reason. If his employment terminates in such circumstances after the 12-month anniversary of the date he commenced employment and prior to a change in control, Mr. Ranganath will be entitled to receive (i) an amount equal to three-fourths (.75) times the sum of his highest annual base salary during the preceding three years and his highest annual bonus during the preceding three years (reduced by any noncompetition payments payable to Mr. Ranganath during the same period), payable in nine monthly installments; (ii) Company-provided group health insurance benefits for up to nine months; and (iii) any accrued but unpaid compensation and benefits, including a prorated annual bonus for the year in which his employment terminates, based on Mr. Ranganath’s annual bonus for the preceding year, subject, in each case, to his execution of a release of claims and compliance with the material provisions of any employment, consulting, advisory, nondisclosure, noncompetition or similar agreement with us. If his employment terminates in such circumstances either in connection with or in anticipation of, or within 24 months following, a change in control, then, in lieu of the payments and benefits described above, Mr. Ranganath will be entitled to receive (A) an amount equal to the sum of his highest annual base salary during the preceding three years and his highest annual bonus during the preceding three years, payable in a lump sum; (B) Company-provided group health insurance benefits for up to 12 months; (C) accelerated vesting of all of his then-outstanding and unvested stock options, restricted stock units, and other equity-based awards (with any performance-based equity awards vesting at target levels); and (D) any accrued but unpaid compensation and benefits, including a prorated annual bonus for the year in which his employment terminates, based on Mr. Ranganath’s annual bonus for the preceding year.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40</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sz w:val="18"/>
        </w:rPr>
        <w:t>Mr.</w:t>
      </w:r>
      <w:r>
        <w:rPr>
          <w:rFonts w:ascii="arial" w:hAnsi="arial"/>
          <w:sz w:val="18"/>
        </w:rPr>
        <w:t> </w:t>
      </w:r>
      <w:r>
        <w:rPr>
          <w:rFonts w:ascii="arial" w:hAnsi="arial"/>
          <w:i/>
          <w:sz w:val="18"/>
        </w:rPr>
        <w:t>Gordon</w:t>
      </w:r>
      <w:r>
        <w:rPr>
          <w:rFonts w:ascii="arial" w:hAnsi="arial"/>
          <w:sz w:val="18"/>
        </w:rPr>
        <w:t xml:space="preserve">. In connection with Mr. Gordon’s transition, we entered into the Transition Agreement, as described in further detail under “CFO Transition” above, which provided for severance payments and benefits in connection with his termination of employment. If Mr. Gordon’s employment terminated for any reason other than a termination of employment without cause prior to March 31, 2025, he would have been entitled to receive the severance payments and benefits set forth in his prior retention agreement for the applicable type of termination. </w:t>
      </w:r>
    </w:p>
    <w:p>
      <w:pPr>
        <w:pStyle w:val="TextBody"/>
        <w:bidi w:val="0"/>
        <w:spacing w:before="160" w:after="0"/>
        <w:jc w:val="left"/>
        <w:rPr>
          <w:rFonts w:ascii="arial" w:hAnsi="arial"/>
          <w:sz w:val="18"/>
        </w:rPr>
      </w:pPr>
      <w:r>
        <w:rPr>
          <w:rFonts w:ascii="arial" w:hAnsi="arial"/>
          <w:i/>
          <w:sz w:val="18"/>
        </w:rPr>
        <w:t>Restrictive Covenants.</w:t>
      </w:r>
      <w:r>
        <w:rPr>
          <w:rFonts w:ascii="arial" w:hAnsi="arial"/>
          <w:sz w:val="18"/>
        </w:rPr>
        <w:t xml:space="preserve"> Each of our named executive officers has entered into an invention assignment and non-disclosure agreement and a noncompetition and non-solicitation agreement with us that contain covenants relating to the disclosure of proprietary and confidential information and the assignment of inventions, and non-competition, no-hire and employee and customer non-solicitation covenants that apply for one year following the termination of the named executive officer’s employment with us. </w:t>
      </w:r>
    </w:p>
    <w:p>
      <w:pPr>
        <w:pStyle w:val="TextBody"/>
        <w:bidi w:val="0"/>
        <w:spacing w:before="160" w:after="0"/>
        <w:jc w:val="left"/>
        <w:rPr>
          <w:rFonts w:ascii="arial" w:hAnsi="arial"/>
          <w:sz w:val="18"/>
        </w:rPr>
      </w:pPr>
      <w:r>
        <w:rPr>
          <w:rFonts w:ascii="arial" w:hAnsi="arial"/>
          <w:i/>
          <w:sz w:val="18"/>
        </w:rPr>
        <w:t>280G Better Of Provision</w:t>
      </w:r>
      <w:r>
        <w:rPr>
          <w:rFonts w:ascii="arial" w:hAnsi="arial"/>
          <w:sz w:val="18"/>
        </w:rPr>
        <w:t xml:space="preserve">. Each of the retention agreements described above provides that we will not be obligated to provide any payments or benefits to the named executive officer that would constitute “excess parachute payments’’ within the meaning of Section 280G of the Code, unless such payments and benefits would result in a greater after-tax amount to the named executive officer than if the payments and benefits were reduced so that no amount was subject to the excise tax imposed with respect to such payments (to the extent applicable).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41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Estimated Severance Payments </w:t>
      </w:r>
    </w:p>
    <w:p>
      <w:pPr>
        <w:pStyle w:val="TextBody"/>
        <w:bidi w:val="0"/>
        <w:spacing w:before="120" w:after="0"/>
        <w:jc w:val="left"/>
        <w:rPr>
          <w:rFonts w:ascii="arial" w:hAnsi="arial"/>
          <w:sz w:val="18"/>
        </w:rPr>
      </w:pPr>
      <w:r>
        <w:rPr>
          <w:rFonts w:ascii="arial" w:hAnsi="arial"/>
          <w:sz w:val="18"/>
        </w:rPr>
        <w:t xml:space="preserve">The table below sets forth the change in control and severance benefits that would be payable to each of our named executive officers if his employment terminated under the circumstances described below, in each case, on December 31, 2024. The actual payments and benefits Mr. Gordon received in connection with his termination of employment are described above under “Gordon Transition.” No benefits would be payable upon a change in control without an associated termination of employment.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50"/>
        <w:gridCol w:w="120"/>
        <w:gridCol w:w="95"/>
        <w:gridCol w:w="95"/>
        <w:gridCol w:w="1083"/>
        <w:gridCol w:w="97"/>
        <w:gridCol w:w="120"/>
        <w:gridCol w:w="60"/>
        <w:gridCol w:w="60"/>
        <w:gridCol w:w="980"/>
        <w:gridCol w:w="60"/>
        <w:gridCol w:w="120"/>
        <w:gridCol w:w="80"/>
        <w:gridCol w:w="80"/>
        <w:gridCol w:w="1309"/>
        <w:gridCol w:w="81"/>
        <w:gridCol w:w="120"/>
        <w:gridCol w:w="60"/>
        <w:gridCol w:w="60"/>
        <w:gridCol w:w="1100"/>
        <w:gridCol w:w="75"/>
      </w:tblGrid>
      <w:tr>
        <w:trPr/>
        <w:tc>
          <w:tcPr>
            <w:tcW w:w="4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37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Benefit</w:t>
              <w:br/>
              <w:t>Continuation</w:t>
              <w:br/>
              <w:t>($)(1)</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6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Severance</w:t>
              <w:br/>
              <w:t>($)(2)</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550"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Acceleration of</w:t>
              <w:br/>
              <w:t>Unvested</w:t>
              <w:br/>
              <w:t>Equity-Based</w:t>
              <w:br/>
              <w:t>Awards</w:t>
              <w:br/>
              <w:t>($)(3)</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95"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Total</w:t>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sz w:val="16"/>
              </w:rPr>
            </w:pPr>
            <w:r>
              <w:rPr>
                <w:rFonts w:ascii="arial" w:hAnsi="arial"/>
                <w:sz w:val="16"/>
              </w:rPr>
              <w:t>Waleed H. Hassanein, M.D.</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0"/>
              <w:jc w:val="left"/>
              <w:rPr/>
            </w:pPr>
            <w:r>
              <w:rPr/>
              <w:t> </w:t>
            </w:r>
          </w:p>
        </w:tc>
        <w:tc>
          <w:tcPr>
            <w:tcW w:w="1083" w:type="dxa"/>
            <w:tcBorders/>
            <w:shd w:fill="EFECE8" w:val="clear"/>
            <w:vAlign w:val="center"/>
          </w:tcPr>
          <w:p>
            <w:pPr>
              <w:pStyle w:val="TableContents"/>
              <w:bidi w:val="0"/>
              <w:spacing w:before="0" w:after="0"/>
              <w:jc w:val="left"/>
              <w:rPr/>
            </w:pPr>
            <w:r>
              <w:rPr/>
              <w:t> </w:t>
            </w:r>
          </w:p>
        </w:tc>
        <w:tc>
          <w:tcPr>
            <w:tcW w:w="97"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980" w:type="dxa"/>
            <w:tcBorders/>
            <w:shd w:fill="EFECE8" w:val="clear"/>
            <w:vAlign w:val="center"/>
          </w:tcPr>
          <w:p>
            <w:pPr>
              <w:pStyle w:val="TableContents"/>
              <w:bidi w:val="0"/>
              <w:spacing w:before="0" w:after="0"/>
              <w:jc w:val="left"/>
              <w:rPr/>
            </w:pPr>
            <w:r>
              <w:rPr/>
              <w:t> </w:t>
            </w:r>
          </w:p>
        </w:tc>
        <w:tc>
          <w:tcPr>
            <w:tcW w:w="6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0"/>
              <w:jc w:val="left"/>
              <w:rPr/>
            </w:pPr>
            <w:r>
              <w:rPr/>
              <w:t> </w:t>
            </w:r>
          </w:p>
        </w:tc>
        <w:tc>
          <w:tcPr>
            <w:tcW w:w="1309" w:type="dxa"/>
            <w:tcBorders/>
            <w:shd w:fill="EFECE8" w:val="clear"/>
            <w:vAlign w:val="center"/>
          </w:tcPr>
          <w:p>
            <w:pPr>
              <w:pStyle w:val="TableContents"/>
              <w:bidi w:val="0"/>
              <w:spacing w:before="0" w:after="0"/>
              <w:jc w:val="left"/>
              <w:rPr/>
            </w:pPr>
            <w:r>
              <w:rPr/>
              <w:t> </w:t>
            </w:r>
          </w:p>
        </w:tc>
        <w:tc>
          <w:tcPr>
            <w:tcW w:w="81"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1100" w:type="dxa"/>
            <w:tcBorders/>
            <w:shd w:fill="EFECE8" w:val="clear"/>
            <w:vAlign w:val="center"/>
          </w:tcPr>
          <w:p>
            <w:pPr>
              <w:pStyle w:val="TableContents"/>
              <w:bidi w:val="0"/>
              <w:spacing w:before="0" w:after="0"/>
              <w:jc w:val="left"/>
              <w:rPr/>
            </w:pPr>
            <w:r>
              <w:rPr/>
              <w:t> </w:t>
            </w:r>
          </w:p>
        </w:tc>
        <w:tc>
          <w:tcPr>
            <w:tcW w:w="75" w:type="dxa"/>
            <w:tcBorders/>
            <w:shd w:fill="EFECE8" w:val="clear"/>
            <w:vAlign w:val="center"/>
          </w:tcPr>
          <w:p>
            <w:pPr>
              <w:pStyle w:val="TableContents"/>
              <w:bidi w:val="0"/>
              <w:spacing w:before="0" w:after="0"/>
              <w:jc w:val="left"/>
              <w:rPr/>
            </w:pPr>
            <w:r>
              <w:rPr/>
              <w:t> </w:t>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26,225</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2,100,000</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2,126,225</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39,338</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3,150,000</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7,730,065</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10,919,403</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sz w:val="16"/>
              </w:rPr>
            </w:pPr>
            <w:r>
              <w:rPr>
                <w:rFonts w:ascii="arial" w:hAnsi="arial"/>
                <w:sz w:val="16"/>
              </w:rPr>
              <w:t>Gerardo Hernandez</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pPr>
            <w:r>
              <w:rPr/>
              <w:t> </w:t>
            </w:r>
          </w:p>
        </w:tc>
        <w:tc>
          <w:tcPr>
            <w:tcW w:w="1083" w:type="dxa"/>
            <w:tcBorders/>
            <w:vAlign w:val="center"/>
          </w:tcPr>
          <w:p>
            <w:pPr>
              <w:pStyle w:val="TableContents"/>
              <w:bidi w:val="0"/>
              <w:spacing w:before="0" w:after="0"/>
              <w:jc w:val="left"/>
              <w:rPr/>
            </w:pPr>
            <w:r>
              <w:rPr/>
              <w:t> </w:t>
            </w:r>
          </w:p>
        </w:tc>
        <w:tc>
          <w:tcPr>
            <w:tcW w:w="9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 or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39,338</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675,000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777,068</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1,491,406</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sz w:val="16"/>
              </w:rPr>
            </w:pPr>
            <w:r>
              <w:rPr>
                <w:rFonts w:ascii="arial" w:hAnsi="arial"/>
                <w:sz w:val="16"/>
              </w:rPr>
              <w:t>Tamer Khayal, M.D.</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0"/>
              <w:jc w:val="left"/>
              <w:rPr/>
            </w:pPr>
            <w:r>
              <w:rPr/>
              <w:t> </w:t>
            </w:r>
          </w:p>
        </w:tc>
        <w:tc>
          <w:tcPr>
            <w:tcW w:w="1083" w:type="dxa"/>
            <w:tcBorders/>
            <w:shd w:fill="EFECE8" w:val="clear"/>
            <w:vAlign w:val="center"/>
          </w:tcPr>
          <w:p>
            <w:pPr>
              <w:pStyle w:val="TableContents"/>
              <w:bidi w:val="0"/>
              <w:spacing w:before="0" w:after="0"/>
              <w:jc w:val="left"/>
              <w:rPr/>
            </w:pPr>
            <w:r>
              <w:rPr/>
              <w:t> </w:t>
            </w:r>
          </w:p>
        </w:tc>
        <w:tc>
          <w:tcPr>
            <w:tcW w:w="97"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980" w:type="dxa"/>
            <w:tcBorders/>
            <w:shd w:fill="EFECE8" w:val="clear"/>
            <w:vAlign w:val="center"/>
          </w:tcPr>
          <w:p>
            <w:pPr>
              <w:pStyle w:val="TableContents"/>
              <w:bidi w:val="0"/>
              <w:spacing w:before="0" w:after="0"/>
              <w:jc w:val="left"/>
              <w:rPr/>
            </w:pPr>
            <w:r>
              <w:rPr/>
              <w:t> </w:t>
            </w:r>
          </w:p>
        </w:tc>
        <w:tc>
          <w:tcPr>
            <w:tcW w:w="6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0"/>
              <w:jc w:val="left"/>
              <w:rPr/>
            </w:pPr>
            <w:r>
              <w:rPr/>
              <w:t> </w:t>
            </w:r>
          </w:p>
        </w:tc>
        <w:tc>
          <w:tcPr>
            <w:tcW w:w="1309" w:type="dxa"/>
            <w:tcBorders/>
            <w:shd w:fill="EFECE8" w:val="clear"/>
            <w:vAlign w:val="center"/>
          </w:tcPr>
          <w:p>
            <w:pPr>
              <w:pStyle w:val="TableContents"/>
              <w:bidi w:val="0"/>
              <w:spacing w:before="0" w:after="0"/>
              <w:jc w:val="left"/>
              <w:rPr/>
            </w:pPr>
            <w:r>
              <w:rPr/>
              <w:t> </w:t>
            </w:r>
          </w:p>
        </w:tc>
        <w:tc>
          <w:tcPr>
            <w:tcW w:w="81"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1100" w:type="dxa"/>
            <w:tcBorders/>
            <w:shd w:fill="EFECE8" w:val="clear"/>
            <w:vAlign w:val="center"/>
          </w:tcPr>
          <w:p>
            <w:pPr>
              <w:pStyle w:val="TableContents"/>
              <w:bidi w:val="0"/>
              <w:spacing w:before="0" w:after="0"/>
              <w:jc w:val="left"/>
              <w:rPr/>
            </w:pPr>
            <w:r>
              <w:rPr/>
              <w:t> </w:t>
            </w:r>
          </w:p>
        </w:tc>
        <w:tc>
          <w:tcPr>
            <w:tcW w:w="75" w:type="dxa"/>
            <w:tcBorders/>
            <w:shd w:fill="EFECE8" w:val="clear"/>
            <w:vAlign w:val="center"/>
          </w:tcPr>
          <w:p>
            <w:pPr>
              <w:pStyle w:val="TableContents"/>
              <w:bidi w:val="0"/>
              <w:spacing w:before="0" w:after="0"/>
              <w:jc w:val="left"/>
              <w:rPr/>
            </w:pPr>
            <w:r>
              <w:rPr/>
              <w:t> </w:t>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19,669</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794,475</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814,144</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26,225</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1,059,300</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2,113,493</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3,199,018</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sz w:val="16"/>
              </w:rPr>
            </w:pPr>
            <w:r>
              <w:rPr>
                <w:rFonts w:ascii="arial" w:hAnsi="arial"/>
                <w:sz w:val="16"/>
              </w:rPr>
              <w:t>Nicholas Corcoran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pPr>
            <w:r>
              <w:rPr/>
              <w:t> </w:t>
            </w:r>
          </w:p>
        </w:tc>
        <w:tc>
          <w:tcPr>
            <w:tcW w:w="1083" w:type="dxa"/>
            <w:tcBorders/>
            <w:vAlign w:val="center"/>
          </w:tcPr>
          <w:p>
            <w:pPr>
              <w:pStyle w:val="TableContents"/>
              <w:bidi w:val="0"/>
              <w:spacing w:before="0" w:after="0"/>
              <w:jc w:val="left"/>
              <w:rPr/>
            </w:pPr>
            <w:r>
              <w:rPr/>
              <w:t> </w:t>
            </w:r>
          </w:p>
        </w:tc>
        <w:tc>
          <w:tcPr>
            <w:tcW w:w="9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 or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13,113</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217,500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230,613</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19,669</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522,000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1,315,897</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1,857,566</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sz w:val="16"/>
              </w:rPr>
            </w:pPr>
            <w:r>
              <w:rPr>
                <w:rFonts w:ascii="arial" w:hAnsi="arial"/>
                <w:sz w:val="16"/>
              </w:rPr>
              <w:t>Anil Ranganath</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0"/>
              <w:jc w:val="left"/>
              <w:rPr/>
            </w:pPr>
            <w:r>
              <w:rPr/>
              <w:t> </w:t>
            </w:r>
          </w:p>
        </w:tc>
        <w:tc>
          <w:tcPr>
            <w:tcW w:w="1083" w:type="dxa"/>
            <w:tcBorders/>
            <w:shd w:fill="EFECE8" w:val="clear"/>
            <w:vAlign w:val="center"/>
          </w:tcPr>
          <w:p>
            <w:pPr>
              <w:pStyle w:val="TableContents"/>
              <w:bidi w:val="0"/>
              <w:spacing w:before="0" w:after="0"/>
              <w:jc w:val="left"/>
              <w:rPr/>
            </w:pPr>
            <w:r>
              <w:rPr/>
              <w:t> </w:t>
            </w:r>
          </w:p>
        </w:tc>
        <w:tc>
          <w:tcPr>
            <w:tcW w:w="97"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980" w:type="dxa"/>
            <w:tcBorders/>
            <w:shd w:fill="EFECE8" w:val="clear"/>
            <w:vAlign w:val="center"/>
          </w:tcPr>
          <w:p>
            <w:pPr>
              <w:pStyle w:val="TableContents"/>
              <w:bidi w:val="0"/>
              <w:spacing w:before="0" w:after="0"/>
              <w:jc w:val="left"/>
              <w:rPr/>
            </w:pPr>
            <w:r>
              <w:rPr/>
              <w:t> </w:t>
            </w:r>
          </w:p>
        </w:tc>
        <w:tc>
          <w:tcPr>
            <w:tcW w:w="60"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0"/>
              <w:jc w:val="left"/>
              <w:rPr/>
            </w:pPr>
            <w:r>
              <w:rPr/>
              <w:t> </w:t>
            </w:r>
          </w:p>
        </w:tc>
        <w:tc>
          <w:tcPr>
            <w:tcW w:w="1309" w:type="dxa"/>
            <w:tcBorders/>
            <w:shd w:fill="EFECE8" w:val="clear"/>
            <w:vAlign w:val="center"/>
          </w:tcPr>
          <w:p>
            <w:pPr>
              <w:pStyle w:val="TableContents"/>
              <w:bidi w:val="0"/>
              <w:spacing w:before="0" w:after="0"/>
              <w:jc w:val="left"/>
              <w:rPr/>
            </w:pPr>
            <w:r>
              <w:rPr/>
              <w:t> </w:t>
            </w:r>
          </w:p>
        </w:tc>
        <w:tc>
          <w:tcPr>
            <w:tcW w:w="81" w:type="dxa"/>
            <w:tcBorders/>
            <w:shd w:fill="EFECE8" w:val="clear"/>
            <w:vAlign w:val="center"/>
          </w:tcPr>
          <w:p>
            <w:pPr>
              <w:pStyle w:val="TableContents"/>
              <w:bidi w:val="0"/>
              <w:spacing w:before="0" w:after="0"/>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pPr>
            <w:r>
              <w:rPr/>
              <w:t> </w:t>
            </w:r>
          </w:p>
        </w:tc>
        <w:tc>
          <w:tcPr>
            <w:tcW w:w="1100" w:type="dxa"/>
            <w:tcBorders/>
            <w:shd w:fill="EFECE8" w:val="clear"/>
            <w:vAlign w:val="center"/>
          </w:tcPr>
          <w:p>
            <w:pPr>
              <w:pStyle w:val="TableContents"/>
              <w:bidi w:val="0"/>
              <w:spacing w:before="0" w:after="0"/>
              <w:jc w:val="left"/>
              <w:rPr/>
            </w:pPr>
            <w:r>
              <w:rPr/>
              <w:t> </w:t>
            </w:r>
          </w:p>
        </w:tc>
        <w:tc>
          <w:tcPr>
            <w:tcW w:w="75" w:type="dxa"/>
            <w:tcBorders/>
            <w:shd w:fill="EFECE8" w:val="clear"/>
            <w:vAlign w:val="center"/>
          </w:tcPr>
          <w:p>
            <w:pPr>
              <w:pStyle w:val="TableContents"/>
              <w:bidi w:val="0"/>
              <w:spacing w:before="0" w:after="0"/>
              <w:jc w:val="left"/>
              <w:rPr/>
            </w:pPr>
            <w:r>
              <w:rPr/>
              <w:t> </w:t>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435,000</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435,000</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580,000</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444,805</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1,024,805</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283"/>
              <w:jc w:val="left"/>
              <w:rPr>
                <w:sz w:val="4"/>
                <w:szCs w:val="4"/>
              </w:rPr>
            </w:pPr>
            <w:r>
              <w:rPr>
                <w:sz w:val="4"/>
                <w:szCs w:val="4"/>
              </w:rPr>
            </w:r>
          </w:p>
        </w:tc>
        <w:tc>
          <w:tcPr>
            <w:tcW w:w="1490" w:type="dxa"/>
            <w:gridSpan w:val="5"/>
            <w:tcBorders/>
            <w:shd w:fill="EFECE8" w:val="clear"/>
            <w:vAlign w:val="center"/>
          </w:tcPr>
          <w:p>
            <w:pPr>
              <w:pStyle w:val="TableContents"/>
              <w:bidi w:val="0"/>
              <w:spacing w:before="0" w:after="283"/>
              <w:jc w:val="left"/>
              <w:rPr>
                <w:sz w:val="4"/>
                <w:szCs w:val="4"/>
              </w:rPr>
            </w:pPr>
            <w:r>
              <w:rPr>
                <w:sz w:val="4"/>
                <w:szCs w:val="4"/>
              </w:rPr>
            </w:r>
          </w:p>
        </w:tc>
        <w:tc>
          <w:tcPr>
            <w:tcW w:w="1280" w:type="dxa"/>
            <w:gridSpan w:val="5"/>
            <w:tcBorders/>
            <w:shd w:fill="EFECE8" w:val="clear"/>
            <w:vAlign w:val="center"/>
          </w:tcPr>
          <w:p>
            <w:pPr>
              <w:pStyle w:val="TableContents"/>
              <w:bidi w:val="0"/>
              <w:spacing w:before="0" w:after="283"/>
              <w:jc w:val="left"/>
              <w:rPr>
                <w:sz w:val="4"/>
                <w:szCs w:val="4"/>
              </w:rPr>
            </w:pPr>
            <w:r>
              <w:rPr>
                <w:sz w:val="4"/>
                <w:szCs w:val="4"/>
              </w:rPr>
            </w:r>
          </w:p>
        </w:tc>
        <w:tc>
          <w:tcPr>
            <w:tcW w:w="1670" w:type="dxa"/>
            <w:gridSpan w:val="5"/>
            <w:tcBorders/>
            <w:shd w:fill="EFECE8" w:val="clear"/>
            <w:vAlign w:val="center"/>
          </w:tcPr>
          <w:p>
            <w:pPr>
              <w:pStyle w:val="TableContents"/>
              <w:bidi w:val="0"/>
              <w:spacing w:before="0" w:after="283"/>
              <w:jc w:val="left"/>
              <w:rPr>
                <w:sz w:val="4"/>
                <w:szCs w:val="4"/>
              </w:rPr>
            </w:pPr>
            <w:r>
              <w:rPr>
                <w:sz w:val="4"/>
                <w:szCs w:val="4"/>
              </w:rPr>
            </w:r>
          </w:p>
        </w:tc>
        <w:tc>
          <w:tcPr>
            <w:tcW w:w="1415"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shd w:fill="EFECE8" w:val="clear"/>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1083" w:type="dxa"/>
            <w:tcBorders/>
            <w:shd w:fill="EFECE8" w:val="clear"/>
            <w:vAlign w:val="center"/>
          </w:tcPr>
          <w:p>
            <w:pPr>
              <w:pStyle w:val="TableContents"/>
              <w:bidi w:val="0"/>
              <w:spacing w:before="0" w:after="283"/>
              <w:jc w:val="right"/>
              <w:rPr/>
            </w:pPr>
            <w:r>
              <w:rPr/>
              <w:t>—</w:t>
            </w:r>
          </w:p>
        </w:tc>
        <w:tc>
          <w:tcPr>
            <w:tcW w:w="97"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80" w:type="dxa"/>
            <w:tcBorders/>
            <w:shd w:fill="EFECE8" w:val="clear"/>
            <w:vAlign w:val="center"/>
          </w:tcPr>
          <w:p>
            <w:pPr>
              <w:pStyle w:val="TableContents"/>
              <w:bidi w:val="0"/>
              <w:spacing w:before="0" w:after="283"/>
              <w:jc w:val="left"/>
              <w:rPr/>
            </w:pPr>
            <w:r>
              <w:rPr/>
              <w:t> </w:t>
            </w:r>
          </w:p>
        </w:tc>
        <w:tc>
          <w:tcPr>
            <w:tcW w:w="1309" w:type="dxa"/>
            <w:tcBorders/>
            <w:shd w:fill="EFECE8" w:val="clear"/>
            <w:vAlign w:val="center"/>
          </w:tcPr>
          <w:p>
            <w:pPr>
              <w:pStyle w:val="TableContents"/>
              <w:bidi w:val="0"/>
              <w:spacing w:before="0" w:after="283"/>
              <w:jc w:val="right"/>
              <w:rPr/>
            </w:pPr>
            <w:r>
              <w:rPr/>
              <w:t>—</w:t>
            </w:r>
          </w:p>
        </w:tc>
        <w:tc>
          <w:tcPr>
            <w:tcW w:w="81" w:type="dxa"/>
            <w:tcBorders/>
            <w:shd w:fill="EFECE8" w:val="clear"/>
            <w:vAlign w:val="center"/>
          </w:tcPr>
          <w:p>
            <w:pPr>
              <w:pStyle w:val="TableContents"/>
              <w:bidi w:val="0"/>
              <w:spacing w:before="0" w:after="283"/>
              <w:jc w:val="left"/>
              <w:rPr>
                <w:sz w:val="4"/>
                <w:szCs w:val="4"/>
              </w:rPr>
            </w:pPr>
            <w:r>
              <w:rPr>
                <w:sz w:val="4"/>
                <w:szCs w:val="4"/>
              </w:rPr>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sz w:val="16"/>
              </w:rPr>
            </w:pPr>
            <w:r>
              <w:rPr>
                <w:rFonts w:ascii="arial" w:hAnsi="arial"/>
                <w:sz w:val="16"/>
              </w:rPr>
              <w:t>Stephen Gordon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pPr>
            <w:r>
              <w:rPr/>
              <w:t> </w:t>
            </w:r>
          </w:p>
        </w:tc>
        <w:tc>
          <w:tcPr>
            <w:tcW w:w="1083" w:type="dxa"/>
            <w:tcBorders/>
            <w:vAlign w:val="center"/>
          </w:tcPr>
          <w:p>
            <w:pPr>
              <w:pStyle w:val="TableContents"/>
              <w:bidi w:val="0"/>
              <w:spacing w:before="0" w:after="0"/>
              <w:jc w:val="left"/>
              <w:rPr/>
            </w:pPr>
            <w:r>
              <w:rPr/>
              <w:t> </w:t>
            </w:r>
          </w:p>
        </w:tc>
        <w:tc>
          <w:tcPr>
            <w:tcW w:w="9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9"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Voluntary Termination/Retirement</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prior to Change in Control without Cause</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39,338</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1,168,650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1,207,988</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prior to Change in Control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19,669</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787,050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806,719</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Termination following Change in Control without Cause or for Good Reason</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26,225</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1,049,400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2,113,493</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3,189,118</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0"/>
              <w:jc w:val="left"/>
              <w:rPr>
                <w:rFonts w:ascii="arial" w:hAnsi="arial"/>
                <w:i/>
                <w:sz w:val="16"/>
              </w:rPr>
            </w:pPr>
            <w:r>
              <w:rPr>
                <w:rFonts w:ascii="arial" w:hAnsi="arial"/>
                <w:i/>
                <w:sz w:val="16"/>
              </w:rPr>
              <w:t>Resignation without Good Reason following Change in Control; Termination for Death or Disability</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w:t>
            </w:r>
          </w:p>
        </w:tc>
        <w:tc>
          <w:tcPr>
            <w:tcW w:w="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w:t>
            </w:r>
          </w:p>
        </w:tc>
        <w:tc>
          <w:tcPr>
            <w:tcW w:w="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4350" w:type="dxa"/>
            <w:tcBorders/>
            <w:vAlign w:val="center"/>
          </w:tcPr>
          <w:p>
            <w:pPr>
              <w:pStyle w:val="TableContents"/>
              <w:bidi w:val="0"/>
              <w:spacing w:before="0" w:after="283"/>
              <w:jc w:val="left"/>
              <w:rPr>
                <w:sz w:val="4"/>
                <w:szCs w:val="4"/>
              </w:rPr>
            </w:pPr>
            <w:r>
              <w:rPr>
                <w:sz w:val="4"/>
                <w:szCs w:val="4"/>
              </w:rPr>
            </w:r>
          </w:p>
        </w:tc>
        <w:tc>
          <w:tcPr>
            <w:tcW w:w="1490" w:type="dxa"/>
            <w:gridSpan w:val="5"/>
            <w:tcBorders/>
            <w:vAlign w:val="center"/>
          </w:tcPr>
          <w:p>
            <w:pPr>
              <w:pStyle w:val="TableContents"/>
              <w:bidi w:val="0"/>
              <w:spacing w:before="0" w:after="283"/>
              <w:jc w:val="left"/>
              <w:rPr>
                <w:sz w:val="4"/>
                <w:szCs w:val="4"/>
              </w:rPr>
            </w:pPr>
            <w:r>
              <w:rPr>
                <w:sz w:val="4"/>
                <w:szCs w:val="4"/>
              </w:rPr>
            </w:r>
          </w:p>
        </w:tc>
        <w:tc>
          <w:tcPr>
            <w:tcW w:w="1280" w:type="dxa"/>
            <w:gridSpan w:val="5"/>
            <w:tcBorders/>
            <w:vAlign w:val="center"/>
          </w:tcPr>
          <w:p>
            <w:pPr>
              <w:pStyle w:val="TableContents"/>
              <w:bidi w:val="0"/>
              <w:spacing w:before="0" w:after="283"/>
              <w:jc w:val="left"/>
              <w:rPr>
                <w:sz w:val="4"/>
                <w:szCs w:val="4"/>
              </w:rPr>
            </w:pPr>
            <w:r>
              <w:rPr>
                <w:sz w:val="4"/>
                <w:szCs w:val="4"/>
              </w:rPr>
            </w:r>
          </w:p>
        </w:tc>
        <w:tc>
          <w:tcPr>
            <w:tcW w:w="1670"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r>
      <w:tr>
        <w:trPr/>
        <w:tc>
          <w:tcPr>
            <w:tcW w:w="4350" w:type="dxa"/>
            <w:tcBorders>
              <w:bottom w:val="single" w:sz="8" w:space="0" w:color="A41F35"/>
            </w:tcBorders>
            <w:tcMar>
              <w:bottom w:w="80" w:type="dxa"/>
            </w:tcMar>
            <w:vAlign w:val="center"/>
          </w:tcPr>
          <w:p>
            <w:pPr>
              <w:pStyle w:val="TableContents"/>
              <w:bidi w:val="0"/>
              <w:spacing w:before="0" w:after="0"/>
              <w:jc w:val="left"/>
              <w:rPr>
                <w:rFonts w:ascii="arial" w:hAnsi="arial"/>
                <w:i/>
                <w:sz w:val="16"/>
              </w:rPr>
            </w:pPr>
            <w:r>
              <w:rPr>
                <w:rFonts w:ascii="arial" w:hAnsi="arial"/>
                <w:i/>
                <w:sz w:val="16"/>
              </w:rPr>
              <w:t>Termination for Cause; Resignation without Good Reason</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tcMar>
              <w:bottom w:w="80" w:type="dxa"/>
            </w:tcMar>
            <w:vAlign w:val="center"/>
          </w:tcPr>
          <w:p>
            <w:pPr>
              <w:pStyle w:val="TableContents"/>
              <w:bidi w:val="0"/>
              <w:spacing w:before="0" w:after="283"/>
              <w:jc w:val="left"/>
              <w:rPr/>
            </w:pPr>
            <w:r>
              <w:rPr/>
              <w:t> </w:t>
            </w:r>
          </w:p>
        </w:tc>
        <w:tc>
          <w:tcPr>
            <w:tcW w:w="1083" w:type="dxa"/>
            <w:tcBorders>
              <w:bottom w:val="single" w:sz="8" w:space="0" w:color="A41F35"/>
            </w:tcBorders>
            <w:tcMar>
              <w:bottom w:w="80" w:type="dxa"/>
            </w:tcMar>
            <w:vAlign w:val="center"/>
          </w:tcPr>
          <w:p>
            <w:pPr>
              <w:pStyle w:val="TableContents"/>
              <w:bidi w:val="0"/>
              <w:spacing w:before="0" w:after="283"/>
              <w:jc w:val="right"/>
              <w:rPr/>
            </w:pPr>
            <w:r>
              <w:rPr/>
              <w:t>—</w:t>
            </w:r>
          </w:p>
        </w:tc>
        <w:tc>
          <w:tcPr>
            <w:tcW w:w="97" w:type="dxa"/>
            <w:tcBorders>
              <w:bottom w:val="single" w:sz="8" w:space="0" w:color="A41F3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80" w:type="dxa"/>
            </w:tcMar>
            <w:vAlign w:val="center"/>
          </w:tcPr>
          <w:p>
            <w:pPr>
              <w:pStyle w:val="TableContents"/>
              <w:bidi w:val="0"/>
              <w:spacing w:before="0" w:after="283"/>
              <w:jc w:val="left"/>
              <w:rPr/>
            </w:pPr>
            <w:r>
              <w:rPr/>
              <w:t> </w:t>
            </w:r>
          </w:p>
        </w:tc>
        <w:tc>
          <w:tcPr>
            <w:tcW w:w="980" w:type="dxa"/>
            <w:tcBorders>
              <w:bottom w:val="single" w:sz="8" w:space="0" w:color="A41F35"/>
            </w:tcBorders>
            <w:tcMar>
              <w:bottom w:w="80" w:type="dxa"/>
            </w:tcMar>
            <w:vAlign w:val="center"/>
          </w:tcPr>
          <w:p>
            <w:pPr>
              <w:pStyle w:val="TableContents"/>
              <w:bidi w:val="0"/>
              <w:spacing w:before="0" w:after="283"/>
              <w:jc w:val="right"/>
              <w:rPr/>
            </w:pPr>
            <w:r>
              <w:rPr/>
              <w:t>—</w:t>
            </w:r>
          </w:p>
        </w:tc>
        <w:tc>
          <w:tcPr>
            <w:tcW w:w="60" w:type="dxa"/>
            <w:tcBorders>
              <w:bottom w:val="single" w:sz="8" w:space="0" w:color="A41F3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80" w:type="dxa"/>
            <w:tcBorders>
              <w:bottom w:val="single" w:sz="8" w:space="0" w:color="A41F35"/>
            </w:tcBorders>
            <w:tcMar>
              <w:bottom w:w="28" w:type="dxa"/>
            </w:tcMar>
            <w:vAlign w:val="center"/>
          </w:tcPr>
          <w:p>
            <w:pPr>
              <w:pStyle w:val="TableContents"/>
              <w:bidi w:val="0"/>
              <w:spacing w:before="0" w:after="283"/>
              <w:jc w:val="left"/>
              <w:rPr/>
            </w:pPr>
            <w:r>
              <w:rPr/>
              <w:t> </w:t>
            </w:r>
          </w:p>
        </w:tc>
        <w:tc>
          <w:tcPr>
            <w:tcW w:w="80" w:type="dxa"/>
            <w:tcBorders>
              <w:bottom w:val="single" w:sz="8" w:space="0" w:color="A41F35"/>
            </w:tcBorders>
            <w:tcMar>
              <w:bottom w:w="80" w:type="dxa"/>
            </w:tcMar>
            <w:vAlign w:val="center"/>
          </w:tcPr>
          <w:p>
            <w:pPr>
              <w:pStyle w:val="TableContents"/>
              <w:bidi w:val="0"/>
              <w:spacing w:before="0" w:after="283"/>
              <w:jc w:val="left"/>
              <w:rPr/>
            </w:pPr>
            <w:r>
              <w:rPr/>
              <w:t> </w:t>
            </w:r>
          </w:p>
        </w:tc>
        <w:tc>
          <w:tcPr>
            <w:tcW w:w="1309" w:type="dxa"/>
            <w:tcBorders>
              <w:bottom w:val="single" w:sz="8" w:space="0" w:color="A41F35"/>
            </w:tcBorders>
            <w:tcMar>
              <w:bottom w:w="80" w:type="dxa"/>
            </w:tcMar>
            <w:vAlign w:val="center"/>
          </w:tcPr>
          <w:p>
            <w:pPr>
              <w:pStyle w:val="TableContents"/>
              <w:bidi w:val="0"/>
              <w:spacing w:before="0" w:after="283"/>
              <w:jc w:val="right"/>
              <w:rPr/>
            </w:pPr>
            <w:r>
              <w:rPr/>
              <w:t>—</w:t>
            </w:r>
          </w:p>
        </w:tc>
        <w:tc>
          <w:tcPr>
            <w:tcW w:w="81" w:type="dxa"/>
            <w:tcBorders>
              <w:bottom w:val="single" w:sz="8" w:space="0" w:color="A41F35"/>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80" w:type="dxa"/>
            </w:tcMar>
            <w:vAlign w:val="center"/>
          </w:tcPr>
          <w:p>
            <w:pPr>
              <w:pStyle w:val="TableContents"/>
              <w:bidi w:val="0"/>
              <w:spacing w:before="0" w:after="283"/>
              <w:jc w:val="left"/>
              <w:rPr/>
            </w:pPr>
            <w:r>
              <w:rPr/>
              <w:t> </w:t>
            </w:r>
          </w:p>
        </w:tc>
        <w:tc>
          <w:tcPr>
            <w:tcW w:w="1100" w:type="dxa"/>
            <w:tcBorders>
              <w:bottom w:val="single" w:sz="8" w:space="0" w:color="A41F35"/>
            </w:tcBorders>
            <w:tcMar>
              <w:bottom w:w="80" w:type="dxa"/>
            </w:tcMar>
            <w:vAlign w:val="center"/>
          </w:tcPr>
          <w:p>
            <w:pPr>
              <w:pStyle w:val="TableContents"/>
              <w:bidi w:val="0"/>
              <w:spacing w:before="0" w:after="283"/>
              <w:jc w:val="right"/>
              <w:rPr/>
            </w:pPr>
            <w:r>
              <w:rPr/>
              <w:t>—</w:t>
            </w:r>
          </w:p>
        </w:tc>
        <w:tc>
          <w:tcPr>
            <w:tcW w:w="75" w:type="dxa"/>
            <w:tcBorders>
              <w:bottom w:val="single" w:sz="8" w:space="0" w:color="A41F35"/>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42</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305"/>
        <w:gridCol w:w="9590"/>
      </w:tblGrid>
      <w:tr>
        <w:trPr/>
        <w:tc>
          <w:tcPr>
            <w:tcW w:w="305" w:type="dxa"/>
            <w:tcBorders/>
            <w:vAlign w:val="center"/>
          </w:tcPr>
          <w:p>
            <w:pPr>
              <w:pStyle w:val="TableContents"/>
              <w:bidi w:val="0"/>
              <w:spacing w:before="0" w:after="283"/>
              <w:jc w:val="left"/>
              <w:rPr/>
            </w:pPr>
            <w:r>
              <w:rPr/>
              <w:t>(1)</w:t>
            </w:r>
          </w:p>
        </w:tc>
        <w:tc>
          <w:tcPr>
            <w:tcW w:w="9590" w:type="dxa"/>
            <w:tcBorders/>
            <w:vAlign w:val="center"/>
          </w:tcPr>
          <w:p>
            <w:pPr>
              <w:pStyle w:val="TableContents"/>
              <w:bidi w:val="0"/>
              <w:spacing w:before="0" w:after="0"/>
              <w:jc w:val="left"/>
              <w:rPr>
                <w:rFonts w:ascii="arial" w:hAnsi="arial"/>
                <w:sz w:val="16"/>
              </w:rPr>
            </w:pPr>
            <w:r>
              <w:rPr>
                <w:rFonts w:ascii="arial" w:hAnsi="arial"/>
                <w:sz w:val="16"/>
              </w:rPr>
              <w:t xml:space="preserve">Benefit continuation amounts are calculated based on the cost of premiums under our group health plans as of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Severance amounts are the amounts payable under the applicable named executive officer’s retention agreement or offer letter (or Transition Agreement, for Mr. Gordon) under the circumstances described above. Mr. Hernandez is not eligible for severance benefits in connection with a termination of his employment prior to the first anniversary of his employment start date and prior to a change in control and, as a result, no amount is included in the table for him outside of a qualifying termination following a change in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Acceleration of Unvested Equity-Based Awards amounts reflect the value of stock options and RSUs that would accelerate upon a termination of employment by the Company without cause or a resignation by our named executive officers for good reason in connection with or in anticipation of, or within 24 months following, a change in control. Values for equity-based awards have been determined using the closing price of a share of our common stock on December 31, 2024, the last trading day of 2024 ($62.35). </w:t>
            </w:r>
          </w:p>
        </w:tc>
      </w:tr>
    </w:tbl>
    <w:p>
      <w:pPr>
        <w:pStyle w:val="TextBody"/>
        <w:bidi w:val="0"/>
        <w:spacing w:before="360" w:after="0"/>
        <w:jc w:val="left"/>
        <w:rPr>
          <w:rFonts w:ascii="arial" w:hAnsi="arial"/>
          <w:b/>
          <w:color w:val="A41F35"/>
          <w:sz w:val="28"/>
        </w:rPr>
      </w:pPr>
      <w:r>
        <w:rPr>
          <w:rFonts w:ascii="arial" w:hAnsi="arial"/>
          <w:b/>
          <w:color w:val="A41F35"/>
          <w:sz w:val="28"/>
        </w:rPr>
        <w:t xml:space="preserve">CEO Pay Ratio </w:t>
      </w:r>
    </w:p>
    <w:p>
      <w:pPr>
        <w:pStyle w:val="TextBody"/>
        <w:bidi w:val="0"/>
        <w:spacing w:before="120" w:after="0"/>
        <w:jc w:val="left"/>
        <w:rPr>
          <w:rFonts w:ascii="arial" w:hAnsi="arial"/>
          <w:sz w:val="18"/>
        </w:rPr>
      </w:pPr>
      <w:r>
        <w:rPr>
          <w:rFonts w:ascii="arial" w:hAnsi="arial"/>
          <w:sz w:val="18"/>
        </w:rPr>
        <w:t xml:space="preserve">Under SEC rules, we are required to disclose the ratio of our CEO’s annual total compensation to the median of the annual total compensation of all of our other employees. We determined that the 2024 median of the annual total compensation of all of our employees who were employed as of December 31, 2024, other than our CEO, Dr. Hassanein, was $141,564. Dr. Hassanein’s 2024 annual total compensation was $8,199,136 (as reported in our Summary Compensation Table above). Based on the foregoing, our estimate of the ratio of Dr. Hassanein’s annual total compensation to the median annual total compensation of all of our other employees was 58 to 1. </w:t>
      </w:r>
    </w:p>
    <w:p>
      <w:pPr>
        <w:pStyle w:val="TextBody"/>
        <w:bidi w:val="0"/>
        <w:spacing w:before="160" w:after="0"/>
        <w:jc w:val="left"/>
        <w:rPr>
          <w:rFonts w:ascii="arial" w:hAnsi="arial"/>
          <w:sz w:val="18"/>
        </w:rPr>
      </w:pPr>
      <w:r>
        <w:rPr>
          <w:rFonts w:ascii="arial" w:hAnsi="arial"/>
          <w:sz w:val="18"/>
        </w:rPr>
        <w:t xml:space="preserve">As of December 31, 2024, our total population, excluding Dr. Hassanein, consisted of 727 employees located in the United States, France, Germany, Ireland, and Italy. Pursuant to SEC rules, we excluded all of our non-U.S. employees (1 employee located in France, 4 employees located in Germany, 1 employee located in Ireland, and 1 employee located in Italy) for purposes of identifying our median employee. After applying this exemption, the employee population, excluding Dr. Hassanein, used for purposes of identifying the median employee consisted of 720 employees. To identify the median employee, we used Box 5 W-2 data for all such 720 individuals (with the exception of Dr. Hassanein) employed by us on December 31, 2024, annualizing such data for those individuals employed by us for less than the full year of 2024. We then calculated the annual compensation of the median employee using the same methodology used to calculate Dr. Hassanein’s compensation for the Summary Compensation Table. </w:t>
      </w:r>
    </w:p>
    <w:p>
      <w:pPr>
        <w:pStyle w:val="TextBody"/>
        <w:bidi w:val="0"/>
        <w:spacing w:before="160" w:after="0"/>
        <w:jc w:val="left"/>
        <w:rPr>
          <w:rFonts w:ascii="arial" w:hAnsi="arial"/>
          <w:sz w:val="18"/>
        </w:rPr>
      </w:pPr>
      <w:r>
        <w:rPr>
          <w:rFonts w:ascii="arial" w:hAnsi="arial"/>
          <w:sz w:val="18"/>
        </w:rPr>
        <w:t xml:space="preserve">We believe that the pay ratio reported above is a reasonable estimate calculated in a manner consistent with SEC rules based on our internal records and the methodology described above.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color w:val="A41F35"/>
          <w:spacing w:val="0"/>
          <w:sz w:val="28"/>
        </w:rPr>
      </w:pPr>
      <w:r>
        <w:rPr>
          <w:rFonts w:ascii="arial" w:hAnsi="arial"/>
          <w:b/>
          <w:color w:val="A41F35"/>
          <w:spacing w:val="0"/>
          <w:sz w:val="28"/>
        </w:rPr>
        <w:t xml:space="preserve">Pay Versus Performance Disclosure </w:t>
      </w:r>
    </w:p>
    <w:p>
      <w:pPr>
        <w:pStyle w:val="TextBody"/>
        <w:bidi w:val="0"/>
        <w:spacing w:before="120" w:after="0"/>
        <w:jc w:val="left"/>
        <w:rPr>
          <w:rFonts w:ascii="arial" w:hAnsi="arial"/>
          <w:sz w:val="18"/>
        </w:rPr>
      </w:pPr>
      <w:r>
        <w:rPr>
          <w:rFonts w:ascii="arial" w:hAnsi="arial"/>
          <w:sz w:val="18"/>
        </w:rPr>
        <w:t xml:space="preserve">In accordance with rules adopted by the SEC pursuant to the Dodd-Frank Wall Street Reform and Consumer Protection Act of 2010, we provide the following disclosure regarding executive “Compensation Actually Paid” (“CAP”) and certain performance measures for the fiscal years listed below. The Compensation Discussion &amp; Analysis (“CD&amp;A”) describes the compensation setting process for our executive officers, which is done independently from the disclosure requirements. </w:t>
      </w:r>
    </w:p>
    <w:p>
      <w:pPr>
        <w:pStyle w:val="TextBody"/>
        <w:bidi w:val="0"/>
        <w:spacing w:before="360" w:after="0"/>
        <w:jc w:val="left"/>
        <w:rPr>
          <w:rFonts w:ascii="arial" w:hAnsi="arial"/>
          <w:b/>
          <w:sz w:val="20"/>
        </w:rPr>
      </w:pPr>
      <w:r>
        <w:rPr>
          <w:rFonts w:ascii="arial" w:hAnsi="arial"/>
          <w:b/>
          <w:sz w:val="20"/>
        </w:rPr>
        <w:t xml:space="preserve">Pay Versus Performance </w:t>
      </w:r>
    </w:p>
    <w:p>
      <w:pPr>
        <w:pStyle w:val="TextBody"/>
        <w:bidi w:val="0"/>
        <w:spacing w:before="120" w:after="0"/>
        <w:jc w:val="left"/>
        <w:rPr>
          <w:rFonts w:ascii="arial" w:hAnsi="arial"/>
          <w:sz w:val="18"/>
        </w:rPr>
      </w:pPr>
      <w:r>
        <w:rPr>
          <w:rFonts w:ascii="arial" w:hAnsi="arial"/>
          <w:sz w:val="18"/>
        </w:rPr>
        <w:t xml:space="preserve">The following table provides the information required for our NEOs for each of the fiscal years ended December 31, 2024, December 31, 2023, December 31, 2022, December 31, 2021, and December 31, 2020 along with the required financial information required for each fiscal year. CAP is calculated in accordance with SEC rules and includes the increase or decrease in value of certain elements of compensation over each fiscal year, including compensation granted in a prior year. CAP does not correlate to the total amount of cash or equity compensation paid or received during each fiscal year. The calculations do not reflect the actual sale of stock underlying equity awards or the exercise of stock options by the executive, and the amount of compensation ultimately received may, in fact, be different from the CAP amounts disclosed in the table below: </w:t>
      </w:r>
    </w:p>
    <w:p>
      <w:pPr>
        <w:pStyle w:val="TextBody"/>
        <w:bidi w:val="0"/>
        <w:spacing w:before="0" w:after="0"/>
        <w:jc w:val="left"/>
        <w:rPr/>
      </w:pPr>
      <w:r>
        <w:rPr/>
        <w:t> </w:t>
      </w:r>
    </w:p>
    <w:tbl>
      <w:tblPr>
        <w:tblW w:w="10258" w:type="dxa"/>
        <w:jc w:val="left"/>
        <w:tblInd w:w="0" w:type="dxa"/>
        <w:tblLayout w:type="fixed"/>
        <w:tblCellMar>
          <w:top w:w="0" w:type="dxa"/>
          <w:left w:w="0" w:type="dxa"/>
          <w:bottom w:w="0" w:type="dxa"/>
          <w:right w:w="0" w:type="dxa"/>
        </w:tblCellMar>
      </w:tblPr>
      <w:tblGrid>
        <w:gridCol w:w="455"/>
        <w:gridCol w:w="60"/>
        <w:gridCol w:w="79"/>
        <w:gridCol w:w="79"/>
        <w:gridCol w:w="1300"/>
        <w:gridCol w:w="32"/>
        <w:gridCol w:w="60"/>
        <w:gridCol w:w="60"/>
        <w:gridCol w:w="60"/>
        <w:gridCol w:w="1100"/>
        <w:gridCol w:w="23"/>
        <w:gridCol w:w="60"/>
        <w:gridCol w:w="79"/>
        <w:gridCol w:w="79"/>
        <w:gridCol w:w="1300"/>
        <w:gridCol w:w="32"/>
        <w:gridCol w:w="60"/>
        <w:gridCol w:w="79"/>
        <w:gridCol w:w="79"/>
        <w:gridCol w:w="1300"/>
        <w:gridCol w:w="32"/>
        <w:gridCol w:w="60"/>
        <w:gridCol w:w="95"/>
        <w:gridCol w:w="95"/>
        <w:gridCol w:w="767"/>
        <w:gridCol w:w="23"/>
        <w:gridCol w:w="60"/>
        <w:gridCol w:w="95"/>
        <w:gridCol w:w="95"/>
        <w:gridCol w:w="767"/>
        <w:gridCol w:w="23"/>
        <w:gridCol w:w="60"/>
        <w:gridCol w:w="60"/>
        <w:gridCol w:w="60"/>
        <w:gridCol w:w="515"/>
        <w:gridCol w:w="95"/>
        <w:gridCol w:w="60"/>
        <w:gridCol w:w="76"/>
        <w:gridCol w:w="76"/>
        <w:gridCol w:w="717"/>
        <w:gridCol w:w="51"/>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2020" w:type="dxa"/>
            <w:gridSpan w:val="9"/>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Value of Initial Fixed $100</w:t>
              <w:br/>
              <w:t>Investment Based On:</w:t>
            </w:r>
          </w:p>
        </w:tc>
        <w:tc>
          <w:tcPr>
            <w:tcW w:w="60" w:type="dxa"/>
            <w:tcBorders/>
            <w:vAlign w:val="center"/>
          </w:tcPr>
          <w:p>
            <w:pPr>
              <w:pStyle w:val="TableContents"/>
              <w:bidi w:val="0"/>
              <w:spacing w:before="0" w:after="283"/>
              <w:jc w:val="left"/>
              <w:rPr/>
            </w:pPr>
            <w:r>
              <w:rPr/>
              <w:t> </w:t>
            </w:r>
          </w:p>
        </w:tc>
        <w:tc>
          <w:tcPr>
            <w:tcW w:w="730"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20" w:type="dxa"/>
            <w:gridSpan w:val="4"/>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r>
      <w:tr>
        <w:trPr/>
        <w:tc>
          <w:tcPr>
            <w:tcW w:w="455" w:type="dxa"/>
            <w:tcBorders/>
            <w:vAlign w:val="center"/>
          </w:tcPr>
          <w:p>
            <w:pPr>
              <w:pStyle w:val="TableContents"/>
              <w:bidi w:val="0"/>
              <w:spacing w:before="0" w:after="0"/>
              <w:jc w:val="left"/>
              <w:rPr>
                <w:rFonts w:ascii="arial" w:hAnsi="arial"/>
                <w:b/>
                <w:sz w:val="16"/>
              </w:rPr>
            </w:pPr>
            <w:r>
              <w:rPr>
                <w:rFonts w:ascii="arial" w:hAnsi="arial"/>
                <w:b/>
                <w:sz w:val="16"/>
              </w:rPr>
              <w:t>Year</w:t>
            </w:r>
          </w:p>
          <w:p>
            <w:pPr>
              <w:pStyle w:val="TableContents"/>
              <w:bidi w:val="0"/>
              <w:spacing w:before="0" w:after="0"/>
              <w:jc w:val="left"/>
              <w:rPr>
                <w:rFonts w:ascii="arial" w:hAnsi="arial"/>
                <w:b/>
                <w:sz w:val="9"/>
              </w:rPr>
            </w:pPr>
            <w:r>
              <w:rPr>
                <w:rFonts w:ascii="arial" w:hAnsi="arial"/>
                <w:b/>
                <w:sz w:val="9"/>
              </w:rPr>
              <w:t>(1)(2)</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center"/>
              <w:rPr>
                <w:b/>
                <w:spacing w:val="0"/>
              </w:rPr>
            </w:pPr>
            <w:r>
              <w:rPr>
                <w:b/>
                <w:spacing w:val="0"/>
              </w:rPr>
              <w:t>Summary</w:t>
              <w:br/>
              <w:t>Compensation</w:t>
              <w:br/>
              <w:t>Table Total</w:t>
              <w:br/>
              <w:t>for PEO</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0"/>
              <w:jc w:val="center"/>
              <w:rPr>
                <w:rFonts w:ascii="arial" w:hAnsi="arial"/>
                <w:b/>
                <w:sz w:val="16"/>
              </w:rPr>
            </w:pPr>
            <w:r>
              <w:rPr>
                <w:rFonts w:ascii="arial" w:hAnsi="arial"/>
                <w:b/>
                <w:sz w:val="16"/>
              </w:rPr>
              <w:t>Compensation</w:t>
              <w:br/>
              <w:t>Actually Paid</w:t>
              <w:br/>
              <w:t>to PEO</w:t>
            </w:r>
          </w:p>
          <w:p>
            <w:pPr>
              <w:pStyle w:val="TableContents"/>
              <w:bidi w:val="0"/>
              <w:spacing w:before="0" w:after="20"/>
              <w:jc w:val="center"/>
              <w:rPr>
                <w:rFonts w:ascii="arial" w:hAnsi="arial"/>
                <w:b/>
                <w:sz w:val="9"/>
              </w:rPr>
            </w:pPr>
            <w:r>
              <w:rPr>
                <w:rFonts w:ascii="arial" w:hAnsi="arial"/>
                <w:b/>
                <w:sz w:val="9"/>
              </w:rPr>
              <w:t>(3)(4)(5)</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center"/>
              <w:rPr>
                <w:b/>
                <w:spacing w:val="0"/>
              </w:rPr>
            </w:pPr>
            <w:r>
              <w:rPr>
                <w:b/>
                <w:spacing w:val="0"/>
              </w:rPr>
              <w:t>Average</w:t>
              <w:br/>
              <w:t>Summary</w:t>
              <w:br/>
              <w:t>Compensation</w:t>
              <w:br/>
              <w:t>Table Total</w:t>
            </w:r>
          </w:p>
          <w:p>
            <w:pPr>
              <w:pStyle w:val="TableContents"/>
              <w:bidi w:val="0"/>
              <w:spacing w:before="0" w:after="0"/>
              <w:jc w:val="center"/>
              <w:rPr>
                <w:b/>
                <w:spacing w:val="0"/>
              </w:rPr>
            </w:pPr>
            <w:r>
              <w:rPr>
                <w:b/>
                <w:spacing w:val="0"/>
              </w:rPr>
              <w:t>for 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(3)(4)(5)</w:t>
            </w:r>
          </w:p>
        </w:tc>
        <w:tc>
          <w:tcPr>
            <w:tcW w:w="60" w:type="dxa"/>
            <w:tcBorders/>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0"/>
              <w:jc w:val="center"/>
              <w:rPr>
                <w:rFonts w:ascii="arial" w:hAnsi="arial"/>
                <w:b/>
                <w:sz w:val="16"/>
              </w:rPr>
            </w:pPr>
            <w:r>
              <w:rPr>
                <w:rFonts w:ascii="arial" w:hAnsi="arial"/>
                <w:b/>
                <w:sz w:val="16"/>
              </w:rPr>
              <w:t>Shareholder</w:t>
            </w:r>
          </w:p>
          <w:p>
            <w:pPr>
              <w:pStyle w:val="TableContents"/>
              <w:bidi w:val="0"/>
              <w:spacing w:before="0" w:after="20"/>
              <w:jc w:val="center"/>
              <w:rPr>
                <w:rFonts w:ascii="arial" w:hAnsi="arial"/>
                <w:b/>
                <w:sz w:val="16"/>
              </w:rPr>
            </w:pPr>
            <w:r>
              <w:rPr>
                <w:rFonts w:ascii="arial" w:hAnsi="arial"/>
                <w:b/>
                <w:sz w:val="16"/>
              </w:rPr>
              <w:t>Return</w:t>
            </w:r>
          </w:p>
          <w:p>
            <w:pPr>
              <w:pStyle w:val="TableContents"/>
              <w:bidi w:val="0"/>
              <w:spacing w:before="0" w:after="20"/>
              <w:jc w:val="center"/>
              <w:rPr>
                <w:rFonts w:ascii="arial" w:hAnsi="arial"/>
                <w:b/>
                <w:sz w:val="9"/>
              </w:rPr>
            </w:pPr>
            <w:r>
              <w:rPr>
                <w:rFonts w:ascii="arial" w:hAnsi="arial"/>
                <w:b/>
                <w:sz w:val="9"/>
              </w:rPr>
              <w:t>(6)</w:t>
            </w:r>
          </w:p>
        </w:tc>
        <w:tc>
          <w:tcPr>
            <w:tcW w:w="60" w:type="dxa"/>
            <w:tcBorders/>
            <w:vAlign w:val="center"/>
          </w:tcPr>
          <w:p>
            <w:pPr>
              <w:pStyle w:val="TableContents"/>
              <w:bidi w:val="0"/>
              <w:spacing w:before="0" w:after="283"/>
              <w:jc w:val="left"/>
              <w:rPr/>
            </w:pPr>
            <w:r>
              <w:rPr/>
              <w:t> </w:t>
            </w:r>
          </w:p>
        </w:tc>
        <w:tc>
          <w:tcPr>
            <w:tcW w:w="980" w:type="dxa"/>
            <w:gridSpan w:val="4"/>
            <w:tcBorders/>
            <w:vAlign w:val="center"/>
          </w:tcPr>
          <w:p>
            <w:pPr>
              <w:pStyle w:val="TableContents"/>
              <w:bidi w:val="0"/>
              <w:spacing w:before="0" w:after="0"/>
              <w:jc w:val="center"/>
              <w:rPr>
                <w:rFonts w:ascii="arial" w:hAnsi="arial"/>
                <w:b/>
                <w:sz w:val="16"/>
              </w:rPr>
            </w:pPr>
            <w:r>
              <w:rPr>
                <w:rFonts w:ascii="arial" w:hAnsi="arial"/>
                <w:b/>
                <w:sz w:val="16"/>
              </w:rPr>
              <w:t>Peer Group</w:t>
              <w:br/>
              <w:t>Total</w:t>
              <w:br/>
              <w:t>Shareholder</w:t>
            </w:r>
          </w:p>
          <w:p>
            <w:pPr>
              <w:pStyle w:val="TableContents"/>
              <w:bidi w:val="0"/>
              <w:spacing w:before="0" w:after="20"/>
              <w:jc w:val="center"/>
              <w:rPr>
                <w:rFonts w:ascii="arial" w:hAnsi="arial"/>
                <w:b/>
                <w:sz w:val="16"/>
              </w:rPr>
            </w:pPr>
            <w:r>
              <w:rPr>
                <w:rFonts w:ascii="arial" w:hAnsi="arial"/>
                <w:b/>
                <w:sz w:val="16"/>
              </w:rPr>
              <w:t>Return</w:t>
            </w:r>
          </w:p>
          <w:p>
            <w:pPr>
              <w:pStyle w:val="TableContents"/>
              <w:bidi w:val="0"/>
              <w:spacing w:before="0" w:after="20"/>
              <w:jc w:val="center"/>
              <w:rPr>
                <w:rFonts w:ascii="arial" w:hAnsi="arial"/>
                <w:b/>
                <w:sz w:val="9"/>
              </w:rPr>
            </w:pPr>
            <w:r>
              <w:rPr>
                <w:rFonts w:ascii="arial" w:hAnsi="arial"/>
                <w:b/>
                <w:sz w:val="9"/>
              </w:rPr>
              <w:t>(7)</w:t>
            </w:r>
          </w:p>
        </w:tc>
        <w:tc>
          <w:tcPr>
            <w:tcW w:w="60" w:type="dxa"/>
            <w:tcBorders/>
            <w:vAlign w:val="center"/>
          </w:tcPr>
          <w:p>
            <w:pPr>
              <w:pStyle w:val="TableContents"/>
              <w:bidi w:val="0"/>
              <w:spacing w:before="0" w:after="283"/>
              <w:jc w:val="left"/>
              <w:rPr/>
            </w:pPr>
            <w:r>
              <w:rPr/>
              <w:t> </w:t>
            </w:r>
          </w:p>
        </w:tc>
        <w:tc>
          <w:tcPr>
            <w:tcW w:w="730" w:type="dxa"/>
            <w:gridSpan w:val="4"/>
            <w:tcBorders/>
            <w:vAlign w:val="center"/>
          </w:tcPr>
          <w:p>
            <w:pPr>
              <w:pStyle w:val="TableContents"/>
              <w:bidi w:val="0"/>
              <w:spacing w:before="0" w:after="0"/>
              <w:jc w:val="center"/>
              <w:rPr>
                <w:rFonts w:ascii="arial" w:hAnsi="arial"/>
                <w:b/>
                <w:sz w:val="16"/>
              </w:rPr>
            </w:pPr>
            <w:r>
              <w:rPr>
                <w:rFonts w:ascii="arial" w:hAnsi="arial"/>
                <w:b/>
                <w:sz w:val="16"/>
              </w:rPr>
              <w:t>Net</w:t>
              <w:br/>
              <w:t>Income</w:t>
            </w:r>
          </w:p>
          <w:p>
            <w:pPr>
              <w:pStyle w:val="TableContents"/>
              <w:bidi w:val="0"/>
              <w:spacing w:before="0" w:after="20"/>
              <w:jc w:val="center"/>
              <w:rPr>
                <w:rFonts w:ascii="arial" w:hAnsi="arial"/>
                <w:b/>
                <w:sz w:val="16"/>
              </w:rPr>
            </w:pPr>
            <w:r>
              <w:rPr>
                <w:rFonts w:ascii="arial" w:hAnsi="arial"/>
                <w:b/>
                <w:sz w:val="16"/>
              </w:rPr>
              <w:t>(Loss)</w:t>
              <w:br/>
              <w:t>(in</w:t>
              <w:br/>
              <w:t>millions)</w:t>
            </w:r>
          </w:p>
          <w:p>
            <w:pPr>
              <w:pStyle w:val="TableContents"/>
              <w:bidi w:val="0"/>
              <w:spacing w:before="0" w:after="20"/>
              <w:jc w:val="center"/>
              <w:rPr>
                <w:rFonts w:ascii="arial" w:hAnsi="arial"/>
                <w:b/>
                <w:sz w:val="9"/>
              </w:rPr>
            </w:pPr>
            <w:r>
              <w:rPr>
                <w:rFonts w:ascii="arial" w:hAnsi="arial"/>
                <w:b/>
                <w:sz w:val="9"/>
              </w:rPr>
              <w:t>(8)</w:t>
            </w:r>
          </w:p>
        </w:tc>
        <w:tc>
          <w:tcPr>
            <w:tcW w:w="60" w:type="dxa"/>
            <w:tcBorders/>
            <w:vAlign w:val="center"/>
          </w:tcPr>
          <w:p>
            <w:pPr>
              <w:pStyle w:val="TableContents"/>
              <w:bidi w:val="0"/>
              <w:spacing w:before="0" w:after="283"/>
              <w:jc w:val="left"/>
              <w:rPr/>
            </w:pPr>
            <w:r>
              <w:rPr/>
              <w:t> </w:t>
            </w:r>
          </w:p>
        </w:tc>
        <w:tc>
          <w:tcPr>
            <w:tcW w:w="920" w:type="dxa"/>
            <w:gridSpan w:val="4"/>
            <w:tcBorders/>
            <w:vAlign w:val="center"/>
          </w:tcPr>
          <w:p>
            <w:pPr>
              <w:pStyle w:val="TableContents"/>
              <w:bidi w:val="0"/>
              <w:spacing w:before="0" w:after="0"/>
              <w:jc w:val="center"/>
              <w:rPr>
                <w:b/>
                <w:spacing w:val="0"/>
              </w:rPr>
            </w:pPr>
            <w:r>
              <w:rPr>
                <w:b/>
                <w:spacing w:val="0"/>
              </w:rPr>
              <w:t>Revenue</w:t>
              <w:br/>
              <w:t>(in</w:t>
              <w:br/>
              <w:t>millions)</w:t>
            </w:r>
          </w:p>
          <w:p>
            <w:pPr>
              <w:pStyle w:val="TableContents"/>
              <w:bidi w:val="0"/>
              <w:spacing w:before="0" w:after="0"/>
              <w:jc w:val="center"/>
              <w:rPr>
                <w:b/>
                <w:spacing w:val="0"/>
                <w:sz w:val="9"/>
              </w:rPr>
            </w:pPr>
            <w:r>
              <w:rPr>
                <w:b/>
                <w:spacing w:val="0"/>
                <w:sz w:val="9"/>
              </w:rPr>
              <w:t>(9)</w:t>
            </w:r>
          </w:p>
        </w:tc>
      </w:tr>
      <w:tr>
        <w:trPr/>
        <w:tc>
          <w:tcPr>
            <w:tcW w:w="455" w:type="dxa"/>
            <w:tcBorders>
              <w:bottom w:val="single" w:sz="16" w:space="0" w:color="A41F35"/>
            </w:tcBorders>
            <w:tcMar>
              <w:bottom w:w="40" w:type="dxa"/>
            </w:tcMar>
            <w:vAlign w:val="center"/>
          </w:tcPr>
          <w:p>
            <w:pPr>
              <w:pStyle w:val="TableContents"/>
              <w:bidi w:val="0"/>
              <w:spacing w:before="0" w:after="0"/>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43"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49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98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98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73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920" w:type="dxa"/>
            <w:gridSpan w:val="4"/>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r>
      <w:tr>
        <w:trPr/>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30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790" w:type="dxa"/>
            <w:gridSpan w:val="5"/>
            <w:tcBorders/>
            <w:shd w:fill="EFECE8" w:val="clear"/>
            <w:vAlign w:val="center"/>
          </w:tcPr>
          <w:p>
            <w:pPr>
              <w:pStyle w:val="TableContents"/>
              <w:bidi w:val="0"/>
              <w:spacing w:before="0" w:after="283"/>
              <w:jc w:val="left"/>
              <w:rPr>
                <w:sz w:val="4"/>
                <w:szCs w:val="4"/>
              </w:rPr>
            </w:pPr>
            <w:r>
              <w:rPr>
                <w:sz w:val="4"/>
                <w:szCs w:val="4"/>
              </w:rPr>
            </w:r>
          </w:p>
        </w:tc>
        <w:tc>
          <w:tcPr>
            <w:tcW w:w="98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55" w:type="dxa"/>
            <w:tcBorders/>
            <w:shd w:fill="EFECE8" w:val="clear"/>
            <w:vAlign w:val="center"/>
          </w:tcPr>
          <w:p>
            <w:pPr>
              <w:pStyle w:val="TableContents"/>
              <w:bidi w:val="0"/>
              <w:spacing w:before="0" w:after="0"/>
              <w:jc w:val="left"/>
              <w:rPr>
                <w:rFonts w:ascii="arial" w:hAnsi="arial"/>
                <w:sz w:val="18"/>
              </w:rPr>
            </w:pPr>
            <w:r>
              <w:rPr>
                <w:rFonts w:ascii="arial" w:hAnsi="arial"/>
                <w:sz w:val="18"/>
              </w:rPr>
              <w:t>2024</w:t>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8,199,136</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9,626,783</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2,983,724</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2,398,150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767" w:type="dxa"/>
            <w:tcBorders/>
            <w:shd w:fill="EFECE8" w:val="clear"/>
            <w:vAlign w:val="center"/>
          </w:tcPr>
          <w:p>
            <w:pPr>
              <w:pStyle w:val="TableContents"/>
              <w:bidi w:val="0"/>
              <w:spacing w:before="0" w:after="283"/>
              <w:jc w:val="right"/>
              <w:rPr/>
            </w:pPr>
            <w:r>
              <w:rPr/>
              <w:t>327.99</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767" w:type="dxa"/>
            <w:tcBorders/>
            <w:shd w:fill="EFECE8" w:val="clear"/>
            <w:vAlign w:val="center"/>
          </w:tcPr>
          <w:p>
            <w:pPr>
              <w:pStyle w:val="TableContents"/>
              <w:bidi w:val="0"/>
              <w:spacing w:before="0" w:after="283"/>
              <w:jc w:val="right"/>
              <w:rPr/>
            </w:pPr>
            <w:r>
              <w:rPr/>
              <w:t>105.42</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15" w:type="dxa"/>
            <w:tcBorders/>
            <w:shd w:fill="EFECE8" w:val="clear"/>
            <w:vAlign w:val="center"/>
          </w:tcPr>
          <w:p>
            <w:pPr>
              <w:pStyle w:val="TableContents"/>
              <w:bidi w:val="0"/>
              <w:spacing w:before="0" w:after="283"/>
              <w:jc w:val="right"/>
              <w:rPr/>
            </w:pPr>
            <w:r>
              <w:rPr/>
              <w:t>35.5</w:t>
            </w:r>
          </w:p>
        </w:tc>
        <w:tc>
          <w:tcPr>
            <w:tcW w:w="95"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17" w:type="dxa"/>
            <w:tcBorders/>
            <w:shd w:fill="EFECE8" w:val="clear"/>
            <w:vAlign w:val="center"/>
          </w:tcPr>
          <w:p>
            <w:pPr>
              <w:pStyle w:val="TableContents"/>
              <w:bidi w:val="0"/>
              <w:spacing w:before="0" w:after="283"/>
              <w:jc w:val="right"/>
              <w:rPr/>
            </w:pPr>
            <w:r>
              <w:rPr/>
              <w:t>441.5</w:t>
            </w:r>
          </w:p>
        </w:tc>
        <w:tc>
          <w:tcPr>
            <w:tcW w:w="51" w:type="dxa"/>
            <w:tcBorders/>
            <w:shd w:fill="EFECE8" w:val="cle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790"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arial" w:hAnsi="arial"/>
                <w:sz w:val="18"/>
              </w:rPr>
            </w:pPr>
            <w:r>
              <w:rPr>
                <w:rFonts w:ascii="arial" w:hAnsi="arial"/>
                <w:sz w:val="18"/>
              </w:rPr>
              <w:t>2023</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6,758,070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12,840,614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2,493,824</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3,227,811</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415.20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106.34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241.6</w:t>
            </w:r>
          </w:p>
        </w:tc>
        <w:tc>
          <w:tcPr>
            <w:tcW w:w="51"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30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790" w:type="dxa"/>
            <w:gridSpan w:val="5"/>
            <w:tcBorders/>
            <w:shd w:fill="EFECE8" w:val="clear"/>
            <w:vAlign w:val="center"/>
          </w:tcPr>
          <w:p>
            <w:pPr>
              <w:pStyle w:val="TableContents"/>
              <w:bidi w:val="0"/>
              <w:spacing w:before="0" w:after="283"/>
              <w:jc w:val="left"/>
              <w:rPr>
                <w:sz w:val="4"/>
                <w:szCs w:val="4"/>
              </w:rPr>
            </w:pPr>
            <w:r>
              <w:rPr>
                <w:sz w:val="4"/>
                <w:szCs w:val="4"/>
              </w:rPr>
            </w:r>
          </w:p>
        </w:tc>
        <w:tc>
          <w:tcPr>
            <w:tcW w:w="98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55" w:type="dxa"/>
            <w:tcBorders/>
            <w:shd w:fill="EFECE8" w:val="clear"/>
            <w:vAlign w:val="center"/>
          </w:tcPr>
          <w:p>
            <w:pPr>
              <w:pStyle w:val="TableContents"/>
              <w:bidi w:val="0"/>
              <w:spacing w:before="0" w:after="0"/>
              <w:jc w:val="left"/>
              <w:rPr>
                <w:rFonts w:ascii="arial" w:hAnsi="arial"/>
                <w:sz w:val="18"/>
              </w:rPr>
            </w:pPr>
            <w:r>
              <w:rPr>
                <w:rFonts w:ascii="arial" w:hAnsi="arial"/>
                <w:sz w:val="18"/>
              </w:rPr>
              <w:t>2022</w:t>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3,287,862</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25,221,314</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958,883</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79" w:type="dxa"/>
            <w:tcBorders/>
            <w:shd w:fill="EFECE8" w:val="clear"/>
            <w:vAlign w:val="center"/>
          </w:tcPr>
          <w:p>
            <w:pPr>
              <w:pStyle w:val="TableContents"/>
              <w:bidi w:val="0"/>
              <w:spacing w:before="0" w:after="283"/>
              <w:jc w:val="left"/>
              <w:rPr/>
            </w:pPr>
            <w:r>
              <w:rPr/>
              <w:t> </w:t>
            </w:r>
          </w:p>
        </w:tc>
        <w:tc>
          <w:tcPr>
            <w:tcW w:w="1300" w:type="dxa"/>
            <w:tcBorders/>
            <w:shd w:fill="EFECE8" w:val="clear"/>
            <w:vAlign w:val="center"/>
          </w:tcPr>
          <w:p>
            <w:pPr>
              <w:pStyle w:val="TableContents"/>
              <w:bidi w:val="0"/>
              <w:spacing w:before="0" w:after="283"/>
              <w:jc w:val="right"/>
              <w:rPr/>
            </w:pPr>
            <w:r>
              <w:rPr/>
              <w:t>4,539,310</w:t>
            </w:r>
          </w:p>
        </w:tc>
        <w:tc>
          <w:tcPr>
            <w:tcW w:w="3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767" w:type="dxa"/>
            <w:tcBorders/>
            <w:shd w:fill="EFECE8" w:val="clear"/>
            <w:vAlign w:val="center"/>
          </w:tcPr>
          <w:p>
            <w:pPr>
              <w:pStyle w:val="TableContents"/>
              <w:bidi w:val="0"/>
              <w:spacing w:before="0" w:after="283"/>
              <w:jc w:val="right"/>
              <w:rPr/>
            </w:pPr>
            <w:r>
              <w:rPr/>
              <w:t>324.67</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95" w:type="dxa"/>
            <w:tcBorders/>
            <w:shd w:fill="EFECE8" w:val="clear"/>
            <w:vAlign w:val="center"/>
          </w:tcPr>
          <w:p>
            <w:pPr>
              <w:pStyle w:val="TableContents"/>
              <w:bidi w:val="0"/>
              <w:spacing w:before="0" w:after="283"/>
              <w:jc w:val="left"/>
              <w:rPr/>
            </w:pPr>
            <w:r>
              <w:rPr/>
              <w:t> </w:t>
            </w:r>
          </w:p>
        </w:tc>
        <w:tc>
          <w:tcPr>
            <w:tcW w:w="767" w:type="dxa"/>
            <w:tcBorders/>
            <w:shd w:fill="EFECE8" w:val="clear"/>
            <w:vAlign w:val="center"/>
          </w:tcPr>
          <w:p>
            <w:pPr>
              <w:pStyle w:val="TableContents"/>
              <w:bidi w:val="0"/>
              <w:spacing w:before="0" w:after="283"/>
              <w:jc w:val="right"/>
              <w:rPr/>
            </w:pPr>
            <w:r>
              <w:rPr/>
              <w:t>99.81</w:t>
            </w:r>
          </w:p>
        </w:tc>
        <w:tc>
          <w:tcPr>
            <w:tcW w:w="23"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515" w:type="dxa"/>
            <w:tcBorders/>
            <w:shd w:fill="EFECE8" w:val="clear"/>
            <w:vAlign w:val="center"/>
          </w:tcPr>
          <w:p>
            <w:pPr>
              <w:pStyle w:val="TableContents"/>
              <w:bidi w:val="0"/>
              <w:spacing w:before="0" w:after="283"/>
              <w:jc w:val="right"/>
              <w:rPr/>
            </w:pPr>
            <w:r>
              <w:rPr/>
              <w:t>(36.2</w:t>
            </w:r>
          </w:p>
        </w:tc>
        <w:tc>
          <w:tcPr>
            <w:tcW w:w="95" w:type="dxa"/>
            <w:tcBorders/>
            <w:shd w:fill="EFECE8" w:val="clear"/>
            <w:vAlign w:val="center"/>
          </w:tcPr>
          <w:p>
            <w:pPr>
              <w:pStyle w:val="TableContents"/>
              <w:bidi w:val="0"/>
              <w:spacing w:before="0" w:after="283"/>
              <w:jc w:val="left"/>
              <w:rPr/>
            </w:pPr>
            <w:r>
              <w:rPr/>
              <w:t>)</w:t>
            </w:r>
          </w:p>
        </w:tc>
        <w:tc>
          <w:tcPr>
            <w:tcW w:w="60"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6" w:type="dxa"/>
            <w:tcBorders/>
            <w:shd w:fill="EFECE8" w:val="clear"/>
            <w:vAlign w:val="center"/>
          </w:tcPr>
          <w:p>
            <w:pPr>
              <w:pStyle w:val="TableContents"/>
              <w:bidi w:val="0"/>
              <w:spacing w:before="0" w:after="283"/>
              <w:jc w:val="left"/>
              <w:rPr/>
            </w:pPr>
            <w:r>
              <w:rPr/>
              <w:t> </w:t>
            </w:r>
          </w:p>
        </w:tc>
        <w:tc>
          <w:tcPr>
            <w:tcW w:w="717" w:type="dxa"/>
            <w:tcBorders/>
            <w:shd w:fill="EFECE8" w:val="clear"/>
            <w:vAlign w:val="center"/>
          </w:tcPr>
          <w:p>
            <w:pPr>
              <w:pStyle w:val="TableContents"/>
              <w:bidi w:val="0"/>
              <w:spacing w:before="0" w:after="283"/>
              <w:jc w:val="right"/>
              <w:rPr/>
            </w:pPr>
            <w:r>
              <w:rPr/>
              <w:t>93.5</w:t>
            </w:r>
          </w:p>
        </w:tc>
        <w:tc>
          <w:tcPr>
            <w:tcW w:w="51" w:type="dxa"/>
            <w:tcBorders/>
            <w:shd w:fill="EFECE8" w:val="cle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03"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c>
          <w:tcPr>
            <w:tcW w:w="790" w:type="dxa"/>
            <w:gridSpan w:val="5"/>
            <w:tcBorders/>
            <w:vAlign w:val="center"/>
          </w:tcPr>
          <w:p>
            <w:pPr>
              <w:pStyle w:val="TableContents"/>
              <w:bidi w:val="0"/>
              <w:spacing w:before="0" w:after="283"/>
              <w:jc w:val="left"/>
              <w:rPr>
                <w:sz w:val="4"/>
                <w:szCs w:val="4"/>
              </w:rPr>
            </w:pPr>
            <w:r>
              <w:rPr>
                <w:sz w:val="4"/>
                <w:szCs w:val="4"/>
              </w:rPr>
            </w:r>
          </w:p>
        </w:tc>
        <w:tc>
          <w:tcPr>
            <w:tcW w:w="98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arial" w:hAnsi="arial"/>
                <w:sz w:val="18"/>
              </w:rPr>
            </w:pPr>
            <w:r>
              <w:rPr>
                <w:rFonts w:ascii="arial" w:hAnsi="arial"/>
                <w:sz w:val="18"/>
              </w:rPr>
              <w:t>2021</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7,370,365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5,172,952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1,441,564</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1,070,395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100.79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right"/>
              <w:rPr/>
            </w:pPr>
            <w:r>
              <w:rPr/>
              <w:t>125.43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(44.2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right"/>
              <w:rPr/>
            </w:pPr>
            <w:r>
              <w:rPr/>
              <w:t>30.3</w:t>
            </w:r>
          </w:p>
        </w:tc>
        <w:tc>
          <w:tcPr>
            <w:tcW w:w="51"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303"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55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1040" w:type="dxa"/>
            <w:gridSpan w:val="5"/>
            <w:tcBorders/>
            <w:shd w:fill="EFECE8" w:val="clear"/>
            <w:vAlign w:val="center"/>
          </w:tcPr>
          <w:p>
            <w:pPr>
              <w:pStyle w:val="TableContents"/>
              <w:bidi w:val="0"/>
              <w:spacing w:before="0" w:after="283"/>
              <w:jc w:val="left"/>
              <w:rPr>
                <w:sz w:val="4"/>
                <w:szCs w:val="4"/>
              </w:rPr>
            </w:pPr>
            <w:r>
              <w:rPr>
                <w:sz w:val="4"/>
                <w:szCs w:val="4"/>
              </w:rPr>
            </w:r>
          </w:p>
        </w:tc>
        <w:tc>
          <w:tcPr>
            <w:tcW w:w="790" w:type="dxa"/>
            <w:gridSpan w:val="5"/>
            <w:tcBorders/>
            <w:shd w:fill="EFECE8" w:val="clear"/>
            <w:vAlign w:val="center"/>
          </w:tcPr>
          <w:p>
            <w:pPr>
              <w:pStyle w:val="TableContents"/>
              <w:bidi w:val="0"/>
              <w:spacing w:before="0" w:after="283"/>
              <w:jc w:val="left"/>
              <w:rPr>
                <w:sz w:val="4"/>
                <w:szCs w:val="4"/>
              </w:rPr>
            </w:pPr>
            <w:r>
              <w:rPr>
                <w:sz w:val="4"/>
                <w:szCs w:val="4"/>
              </w:rPr>
            </w:r>
          </w:p>
        </w:tc>
        <w:tc>
          <w:tcPr>
            <w:tcW w:w="980"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2020</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300" w:type="dxa"/>
            <w:tcBorders>
              <w:bottom w:val="single" w:sz="8" w:space="0" w:color="A41F35"/>
            </w:tcBorders>
            <w:shd w:fill="EFECE8" w:val="clear"/>
            <w:tcMar>
              <w:bottom w:w="40" w:type="dxa"/>
            </w:tcMar>
            <w:vAlign w:val="center"/>
          </w:tcPr>
          <w:p>
            <w:pPr>
              <w:pStyle w:val="TableContents"/>
              <w:bidi w:val="0"/>
              <w:spacing w:before="0" w:after="283"/>
              <w:jc w:val="right"/>
              <w:rPr/>
            </w:pPr>
            <w:r>
              <w:rPr/>
              <w:t>2,385,687</w:t>
            </w:r>
          </w:p>
        </w:tc>
        <w:tc>
          <w:tcPr>
            <w:tcW w:w="32"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100" w:type="dxa"/>
            <w:tcBorders>
              <w:bottom w:val="single" w:sz="8" w:space="0" w:color="A41F35"/>
            </w:tcBorders>
            <w:shd w:fill="EFECE8" w:val="clear"/>
            <w:tcMar>
              <w:bottom w:w="40" w:type="dxa"/>
            </w:tcMar>
            <w:vAlign w:val="center"/>
          </w:tcPr>
          <w:p>
            <w:pPr>
              <w:pStyle w:val="TableContents"/>
              <w:bidi w:val="0"/>
              <w:spacing w:before="0" w:after="283"/>
              <w:jc w:val="right"/>
              <w:rPr/>
            </w:pPr>
            <w:r>
              <w:rPr/>
              <w:t>2,664,897</w:t>
            </w:r>
          </w:p>
        </w:tc>
        <w:tc>
          <w:tcPr>
            <w:tcW w:w="23"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300" w:type="dxa"/>
            <w:tcBorders>
              <w:bottom w:val="single" w:sz="8" w:space="0" w:color="A41F35"/>
            </w:tcBorders>
            <w:shd w:fill="EFECE8" w:val="clear"/>
            <w:tcMar>
              <w:bottom w:w="40" w:type="dxa"/>
            </w:tcMar>
            <w:vAlign w:val="center"/>
          </w:tcPr>
          <w:p>
            <w:pPr>
              <w:pStyle w:val="TableContents"/>
              <w:bidi w:val="0"/>
              <w:spacing w:before="0" w:after="283"/>
              <w:jc w:val="right"/>
              <w:rPr/>
            </w:pPr>
            <w:r>
              <w:rPr/>
              <w:t>928,500</w:t>
            </w:r>
          </w:p>
        </w:tc>
        <w:tc>
          <w:tcPr>
            <w:tcW w:w="32"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9"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300" w:type="dxa"/>
            <w:tcBorders>
              <w:bottom w:val="single" w:sz="8" w:space="0" w:color="A41F35"/>
            </w:tcBorders>
            <w:shd w:fill="EFECE8" w:val="clear"/>
            <w:tcMar>
              <w:bottom w:w="40" w:type="dxa"/>
            </w:tcMar>
            <w:vAlign w:val="center"/>
          </w:tcPr>
          <w:p>
            <w:pPr>
              <w:pStyle w:val="TableContents"/>
              <w:bidi w:val="0"/>
              <w:spacing w:before="0" w:after="283"/>
              <w:jc w:val="right"/>
              <w:rPr/>
            </w:pPr>
            <w:r>
              <w:rPr/>
              <w:t>1,040,808</w:t>
            </w:r>
          </w:p>
        </w:tc>
        <w:tc>
          <w:tcPr>
            <w:tcW w:w="32"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767" w:type="dxa"/>
            <w:tcBorders>
              <w:bottom w:val="single" w:sz="8" w:space="0" w:color="A41F35"/>
            </w:tcBorders>
            <w:shd w:fill="EFECE8" w:val="clear"/>
            <w:tcMar>
              <w:bottom w:w="40" w:type="dxa"/>
            </w:tcMar>
            <w:vAlign w:val="center"/>
          </w:tcPr>
          <w:p>
            <w:pPr>
              <w:pStyle w:val="TableContents"/>
              <w:bidi w:val="0"/>
              <w:spacing w:before="0" w:after="283"/>
              <w:jc w:val="right"/>
              <w:rPr/>
            </w:pPr>
            <w:r>
              <w:rPr/>
              <w:t>104.68</w:t>
            </w:r>
          </w:p>
        </w:tc>
        <w:tc>
          <w:tcPr>
            <w:tcW w:w="23"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95"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767" w:type="dxa"/>
            <w:tcBorders>
              <w:bottom w:val="single" w:sz="8" w:space="0" w:color="A41F35"/>
            </w:tcBorders>
            <w:shd w:fill="EFECE8" w:val="clear"/>
            <w:tcMar>
              <w:bottom w:w="40" w:type="dxa"/>
            </w:tcMar>
            <w:vAlign w:val="center"/>
          </w:tcPr>
          <w:p>
            <w:pPr>
              <w:pStyle w:val="TableContents"/>
              <w:bidi w:val="0"/>
              <w:spacing w:before="0" w:after="283"/>
              <w:jc w:val="right"/>
              <w:rPr/>
            </w:pPr>
            <w:r>
              <w:rPr/>
              <w:t>130.04</w:t>
            </w:r>
          </w:p>
        </w:tc>
        <w:tc>
          <w:tcPr>
            <w:tcW w:w="23"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515" w:type="dxa"/>
            <w:tcBorders>
              <w:bottom w:val="single" w:sz="8" w:space="0" w:color="A41F35"/>
            </w:tcBorders>
            <w:shd w:fill="EFECE8" w:val="clear"/>
            <w:tcMar>
              <w:bottom w:w="40" w:type="dxa"/>
            </w:tcMar>
            <w:vAlign w:val="center"/>
          </w:tcPr>
          <w:p>
            <w:pPr>
              <w:pStyle w:val="TableContents"/>
              <w:bidi w:val="0"/>
              <w:spacing w:before="0" w:after="283"/>
              <w:jc w:val="right"/>
              <w:rPr/>
            </w:pPr>
            <w:r>
              <w:rPr/>
              <w:t>(28.7</w:t>
            </w:r>
          </w:p>
        </w:tc>
        <w:tc>
          <w:tcPr>
            <w:tcW w:w="95"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6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6"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76"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717" w:type="dxa"/>
            <w:tcBorders>
              <w:bottom w:val="single" w:sz="8" w:space="0" w:color="A41F35"/>
            </w:tcBorders>
            <w:shd w:fill="EFECE8" w:val="clear"/>
            <w:tcMar>
              <w:bottom w:w="40" w:type="dxa"/>
            </w:tcMar>
            <w:vAlign w:val="center"/>
          </w:tcPr>
          <w:p>
            <w:pPr>
              <w:pStyle w:val="TableContents"/>
              <w:bidi w:val="0"/>
              <w:spacing w:before="0" w:after="283"/>
              <w:jc w:val="right"/>
              <w:rPr/>
            </w:pPr>
            <w:r>
              <w:rPr/>
              <w:t>25.6</w:t>
            </w:r>
          </w:p>
        </w:tc>
        <w:tc>
          <w:tcPr>
            <w:tcW w:w="51" w:type="dxa"/>
            <w:tcBorders>
              <w:bottom w:val="single" w:sz="8" w:space="0" w:color="A41F35"/>
            </w:tcBorders>
            <w:shd w:fill="EFECE8"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305"/>
        <w:gridCol w:w="6890"/>
      </w:tblGrid>
      <w:tr>
        <w:trPr/>
        <w:tc>
          <w:tcPr>
            <w:tcW w:w="305" w:type="dxa"/>
            <w:tcBorders/>
            <w:vAlign w:val="center"/>
          </w:tcPr>
          <w:p>
            <w:pPr>
              <w:pStyle w:val="TableContents"/>
              <w:bidi w:val="0"/>
              <w:spacing w:before="0" w:after="283"/>
              <w:jc w:val="left"/>
              <w:rPr/>
            </w:pPr>
            <w:r>
              <w:rPr/>
              <w:t>(1)</w:t>
            </w:r>
          </w:p>
        </w:tc>
        <w:tc>
          <w:tcPr>
            <w:tcW w:w="6890" w:type="dxa"/>
            <w:tcBorders/>
            <w:vAlign w:val="center"/>
          </w:tcPr>
          <w:p>
            <w:pPr>
              <w:pStyle w:val="TableContents"/>
              <w:bidi w:val="0"/>
              <w:spacing w:before="0" w:after="0"/>
              <w:jc w:val="left"/>
              <w:rPr>
                <w:rFonts w:ascii="arial" w:hAnsi="arial"/>
                <w:sz w:val="16"/>
              </w:rPr>
            </w:pPr>
            <w:r>
              <w:rPr>
                <w:rFonts w:ascii="arial" w:hAnsi="arial"/>
                <w:sz w:val="16"/>
              </w:rPr>
              <w:t xml:space="preserve">For all years reported, the principal executive officer (“PEO”) was Waleed H. Hassanein, M.D.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305"/>
        <w:gridCol w:w="4925"/>
      </w:tblGrid>
      <w:tr>
        <w:trPr/>
        <w:tc>
          <w:tcPr>
            <w:tcW w:w="305" w:type="dxa"/>
            <w:tcBorders/>
            <w:vAlign w:val="center"/>
          </w:tcPr>
          <w:p>
            <w:pPr>
              <w:pStyle w:val="TableContents"/>
              <w:bidi w:val="0"/>
              <w:spacing w:before="0" w:after="283"/>
              <w:jc w:val="left"/>
              <w:rPr/>
            </w:pPr>
            <w:r>
              <w:rPr/>
              <w:t>(2)</w:t>
            </w:r>
          </w:p>
        </w:tc>
        <w:tc>
          <w:tcPr>
            <w:tcW w:w="4925" w:type="dxa"/>
            <w:tcBorders/>
            <w:vAlign w:val="center"/>
          </w:tcPr>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reflect the following executives for each covered fiscal year: </w:t>
            </w:r>
          </w:p>
        </w:tc>
      </w:tr>
    </w:tbl>
    <w:p>
      <w:pPr>
        <w:pStyle w:val="TextBody"/>
        <w:bidi w:val="0"/>
        <w:spacing w:before="80" w:after="0"/>
        <w:jc w:val="left"/>
        <w:rPr>
          <w:rFonts w:ascii="arial" w:hAnsi="arial"/>
          <w:sz w:val="16"/>
        </w:rPr>
      </w:pPr>
      <w:r>
        <w:rPr>
          <w:rFonts w:ascii="arial" w:hAnsi="arial"/>
          <w:sz w:val="16"/>
        </w:rPr>
        <w:t xml:space="preserve">2024: Gerardo Hernandez, Tamer Khayal, M.D., Nicholas Corcoran, Anil Ranganath, Stephen Gordon; </w:t>
      </w:r>
    </w:p>
    <w:p>
      <w:pPr>
        <w:pStyle w:val="TextBody"/>
        <w:bidi w:val="0"/>
        <w:spacing w:before="0" w:after="0"/>
        <w:jc w:val="left"/>
        <w:rPr>
          <w:rFonts w:ascii="arial" w:hAnsi="arial"/>
          <w:sz w:val="16"/>
        </w:rPr>
      </w:pPr>
      <w:r>
        <w:rPr>
          <w:rFonts w:ascii="arial" w:hAnsi="arial"/>
          <w:sz w:val="16"/>
        </w:rPr>
        <w:t xml:space="preserve">2023: Stephen Gordon, Tamer Khayal, M.D., Nicholas Corcoran, Anil Ranganath; </w:t>
      </w:r>
    </w:p>
    <w:p>
      <w:pPr>
        <w:pStyle w:val="TextBody"/>
        <w:bidi w:val="0"/>
        <w:spacing w:before="0" w:after="0"/>
        <w:jc w:val="left"/>
        <w:rPr>
          <w:rFonts w:ascii="arial" w:hAnsi="arial"/>
          <w:sz w:val="16"/>
        </w:rPr>
      </w:pPr>
      <w:r>
        <w:rPr>
          <w:rFonts w:ascii="arial" w:hAnsi="arial"/>
          <w:sz w:val="16"/>
        </w:rPr>
        <w:t xml:space="preserve">2022: Stephen Gordon, Tamer Khayal, M.D., Miriam Provost, Laura Damme; </w:t>
      </w:r>
    </w:p>
    <w:p>
      <w:pPr>
        <w:pStyle w:val="TextBody"/>
        <w:bidi w:val="0"/>
        <w:spacing w:before="0" w:after="0"/>
        <w:jc w:val="left"/>
        <w:rPr>
          <w:rFonts w:ascii="arial" w:hAnsi="arial"/>
          <w:sz w:val="16"/>
        </w:rPr>
      </w:pPr>
      <w:r>
        <w:rPr>
          <w:rFonts w:ascii="arial" w:hAnsi="arial"/>
          <w:sz w:val="16"/>
        </w:rPr>
        <w:t xml:space="preserve">2021: Stephen Gordon, Tamer Khayal, M.D., Miriam Provost, Laura Damme; and </w:t>
      </w:r>
    </w:p>
    <w:p>
      <w:pPr>
        <w:pStyle w:val="TextBody"/>
        <w:bidi w:val="0"/>
        <w:spacing w:before="0" w:after="0"/>
        <w:jc w:val="left"/>
        <w:rPr>
          <w:rFonts w:ascii="arial" w:hAnsi="arial"/>
          <w:sz w:val="16"/>
        </w:rPr>
      </w:pPr>
      <w:r>
        <w:rPr>
          <w:rFonts w:ascii="arial" w:hAnsi="arial"/>
          <w:sz w:val="16"/>
        </w:rPr>
        <w:t xml:space="preserve">2020: Stephen Gordon, Tamer Khayal, M.D.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275"/>
        <w:gridCol w:w="60"/>
        <w:gridCol w:w="260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spacing w:val="0"/>
              </w:rPr>
            </w:pPr>
            <w:r>
              <w:rPr>
                <w:b/>
                <w:spacing w:val="0"/>
              </w:rPr>
              <w:t>44</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b/>
                <w:color w:val="A41F35"/>
                <w:spacing w:val="0"/>
              </w:rPr>
            </w:pPr>
            <w:r>
              <w:rPr>
                <w:b/>
                <w:color w:val="A41F35"/>
                <w:spacing w:val="0"/>
              </w:rPr>
              <w:t>TransMedics Group, Inc.</w:t>
            </w:r>
          </w:p>
          <w:p>
            <w:pPr>
              <w:pStyle w:val="TableContents"/>
              <w:bidi w:val="0"/>
              <w:spacing w:before="0" w:after="0"/>
              <w:jc w:val="left"/>
              <w:rPr/>
            </w:pPr>
            <w:r>
              <w:rPr/>
              <w:t>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left"/>
              <w:rPr>
                <w:rFonts w:ascii="arial" w:hAnsi="arial"/>
                <w:sz w:val="16"/>
              </w:rPr>
            </w:pPr>
            <w:r>
              <w:rPr>
                <w:rFonts w:ascii="arial" w:hAnsi="arial"/>
                <w:sz w:val="16"/>
              </w:rPr>
              <w:t xml:space="preserve">Deductions from, and additions to, total compensation in the Summary Compensation Table by year to calculate CAP are shown in the tables below. The amounts reflected for fiscal year 2023 have been revised from the amounts previously reported in last year’s Proxy Statement to reflect the correct Average Summary Compensation Table Total for our </w:t>
            </w:r>
          </w:p>
          <w:p>
            <w:pPr>
              <w:pStyle w:val="TableContents"/>
              <w:bidi w:val="0"/>
              <w:spacing w:before="0" w:after="0"/>
              <w:jc w:val="left"/>
              <w:rPr>
                <w:rFonts w:ascii="arial" w:hAnsi="arial"/>
                <w:spacing w:val="0"/>
                <w:sz w:val="16"/>
              </w:rPr>
            </w:pPr>
            <w:r>
              <w:rPr>
                <w:rFonts w:ascii="arial" w:hAnsi="arial"/>
                <w:spacing w:val="0"/>
                <w:sz w:val="16"/>
              </w:rPr>
              <w:t>Non-PEO</w:t>
            </w:r>
          </w:p>
          <w:p>
            <w:pPr>
              <w:pStyle w:val="TableContents"/>
              <w:bidi w:val="0"/>
              <w:spacing w:before="0" w:after="0"/>
              <w:jc w:val="left"/>
              <w:rPr>
                <w:rFonts w:ascii="arial" w:hAnsi="arial"/>
                <w:sz w:val="16"/>
              </w:rPr>
            </w:pPr>
            <w:r>
              <w:rPr>
                <w:rFonts w:ascii="arial" w:hAnsi="arial"/>
                <w:sz w:val="16"/>
              </w:rPr>
              <w:t xml:space="preserve">NEOs and to incorporate an inadvertent omission of certain tranches of outstanding stock option awards granted in a previous year that remained outstanding as of the end of fiscal year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0"/>
        <w:gridCol w:w="120"/>
        <w:gridCol w:w="60"/>
        <w:gridCol w:w="1055"/>
        <w:gridCol w:w="155"/>
        <w:gridCol w:w="60"/>
        <w:gridCol w:w="60"/>
        <w:gridCol w:w="1100"/>
        <w:gridCol w:w="155"/>
        <w:gridCol w:w="60"/>
        <w:gridCol w:w="60"/>
        <w:gridCol w:w="1100"/>
        <w:gridCol w:w="155"/>
        <w:gridCol w:w="60"/>
        <w:gridCol w:w="60"/>
        <w:gridCol w:w="1055"/>
        <w:gridCol w:w="155"/>
        <w:gridCol w:w="60"/>
        <w:gridCol w:w="60"/>
        <w:gridCol w:w="1055"/>
        <w:gridCol w:w="170"/>
      </w:tblGrid>
      <w:tr>
        <w:trPr/>
        <w:tc>
          <w:tcPr>
            <w:tcW w:w="3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90"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525" w:type="dxa"/>
            <w:gridSpan w:val="18"/>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CAP to PEO</w:t>
            </w:r>
          </w:p>
        </w:tc>
        <w:tc>
          <w:tcPr>
            <w:tcW w:w="170" w:type="dxa"/>
            <w:tcBorders>
              <w:bottom w:val="single" w:sz="16" w:space="0" w:color="A41F35"/>
            </w:tcBorders>
            <w:tcMar>
              <w:bottom w:w="28" w:type="dxa"/>
            </w:tcMar>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3390" w:type="dxa"/>
            <w:tcBorders>
              <w:bottom w:val="single" w:sz="16" w:space="0" w:color="A41F35"/>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60"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60"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70" w:type="dxa"/>
            <w:tcBorders>
              <w:bottom w:val="single" w:sz="16" w:space="0" w:color="A41F35"/>
            </w:tcBorders>
            <w:tcMar>
              <w:bottom w:w="28" w:type="dxa"/>
            </w:tcMar>
            <w:vAlign w:val="center"/>
          </w:tcPr>
          <w:p>
            <w:pPr>
              <w:pStyle w:val="TableContents"/>
              <w:bidi w:val="0"/>
              <w:spacing w:before="0" w:after="283"/>
              <w:jc w:val="left"/>
              <w:rPr/>
            </w:pPr>
            <w:r>
              <w:rPr/>
              <w:t> </w:t>
            </w:r>
          </w:p>
        </w:tc>
      </w:tr>
      <w:tr>
        <w:trPr/>
        <w:tc>
          <w:tcPr>
            <w:tcW w:w="3390"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34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390" w:type="dxa"/>
            <w:tcBorders/>
            <w:shd w:fill="EFECE8" w:val="clear"/>
            <w:vAlign w:val="center"/>
          </w:tcPr>
          <w:p>
            <w:pPr>
              <w:pStyle w:val="TableContents"/>
              <w:bidi w:val="0"/>
              <w:spacing w:before="0" w:after="0"/>
              <w:jc w:val="left"/>
              <w:rPr>
                <w:rFonts w:ascii="arial" w:hAnsi="arial"/>
                <w:b/>
                <w:sz w:val="18"/>
              </w:rPr>
            </w:pPr>
            <w:r>
              <w:rPr>
                <w:rFonts w:ascii="arial" w:hAnsi="arial"/>
                <w:b/>
                <w:sz w:val="18"/>
              </w:rPr>
              <w:t>Summary Compensation Table Total</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055" w:type="dxa"/>
            <w:tcBorders/>
            <w:shd w:fill="EFECE8" w:val="clear"/>
            <w:vAlign w:val="center"/>
          </w:tcPr>
          <w:p>
            <w:pPr>
              <w:pStyle w:val="TableContents"/>
              <w:bidi w:val="0"/>
              <w:spacing w:before="0" w:after="0"/>
              <w:jc w:val="right"/>
              <w:rPr>
                <w:b/>
                <w:spacing w:val="0"/>
              </w:rPr>
            </w:pPr>
            <w:r>
              <w:rPr>
                <w:b/>
                <w:spacing w:val="0"/>
              </w:rPr>
              <w:t>8,199,136</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100" w:type="dxa"/>
            <w:tcBorders/>
            <w:shd w:fill="EFECE8" w:val="clear"/>
            <w:vAlign w:val="center"/>
          </w:tcPr>
          <w:p>
            <w:pPr>
              <w:pStyle w:val="TableContents"/>
              <w:bidi w:val="0"/>
              <w:spacing w:before="0" w:after="0"/>
              <w:jc w:val="right"/>
              <w:rPr>
                <w:b/>
                <w:spacing w:val="0"/>
              </w:rPr>
            </w:pPr>
            <w:r>
              <w:rPr>
                <w:b/>
                <w:spacing w:val="0"/>
              </w:rPr>
              <w:t>6,758,070</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100" w:type="dxa"/>
            <w:tcBorders/>
            <w:shd w:fill="EFECE8" w:val="clear"/>
            <w:vAlign w:val="center"/>
          </w:tcPr>
          <w:p>
            <w:pPr>
              <w:pStyle w:val="TableContents"/>
              <w:bidi w:val="0"/>
              <w:spacing w:before="0" w:after="0"/>
              <w:jc w:val="right"/>
              <w:rPr>
                <w:b/>
                <w:spacing w:val="0"/>
              </w:rPr>
            </w:pPr>
            <w:r>
              <w:rPr>
                <w:b/>
                <w:spacing w:val="0"/>
              </w:rPr>
              <w:t>3,287,862</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055" w:type="dxa"/>
            <w:tcBorders/>
            <w:shd w:fill="EFECE8" w:val="clear"/>
            <w:vAlign w:val="center"/>
          </w:tcPr>
          <w:p>
            <w:pPr>
              <w:pStyle w:val="TableContents"/>
              <w:bidi w:val="0"/>
              <w:spacing w:before="0" w:after="0"/>
              <w:jc w:val="right"/>
              <w:rPr>
                <w:b/>
                <w:spacing w:val="0"/>
              </w:rPr>
            </w:pPr>
            <w:r>
              <w:rPr>
                <w:b/>
                <w:spacing w:val="0"/>
              </w:rPr>
              <w:t>7,370,365</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055" w:type="dxa"/>
            <w:tcBorders/>
            <w:shd w:fill="EFECE8" w:val="clear"/>
            <w:vAlign w:val="center"/>
          </w:tcPr>
          <w:p>
            <w:pPr>
              <w:pStyle w:val="TableContents"/>
              <w:bidi w:val="0"/>
              <w:spacing w:before="0" w:after="0"/>
              <w:jc w:val="right"/>
              <w:rPr>
                <w:b/>
                <w:spacing w:val="0"/>
              </w:rPr>
            </w:pPr>
            <w:r>
              <w:rPr>
                <w:b/>
                <w:spacing w:val="0"/>
              </w:rPr>
              <w:t>2,385,687</w:t>
            </w:r>
          </w:p>
        </w:tc>
        <w:tc>
          <w:tcPr>
            <w:tcW w:w="170" w:type="dxa"/>
            <w:tcBorders/>
            <w:shd w:fill="EFECE8" w:val="clear"/>
            <w:vAlign w:val="center"/>
          </w:tcPr>
          <w:p>
            <w:pPr>
              <w:pStyle w:val="TableContents"/>
              <w:bidi w:val="0"/>
              <w:spacing w:before="0" w:after="0"/>
              <w:jc w:val="left"/>
              <w:rPr>
                <w:spacing w:val="0"/>
              </w:rPr>
            </w:pPr>
            <w:r>
              <w:rPr>
                <w:spacing w:val="0"/>
              </w:rPr>
              <w:t> </w:t>
            </w:r>
          </w:p>
        </w:tc>
      </w:tr>
      <w:tr>
        <w:trPr/>
        <w:tc>
          <w:tcPr>
            <w:tcW w:w="3390"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3390" w:type="dxa"/>
            <w:tcBorders/>
            <w:vAlign w:val="center"/>
          </w:tcPr>
          <w:p>
            <w:pPr>
              <w:pStyle w:val="TableContents"/>
              <w:bidi w:val="0"/>
              <w:spacing w:before="0" w:after="0"/>
              <w:jc w:val="left"/>
              <w:rPr>
                <w:rFonts w:ascii="arial" w:hAnsi="arial"/>
                <w:b/>
                <w:i/>
                <w:spacing w:val="0"/>
                <w:sz w:val="18"/>
              </w:rPr>
            </w:pPr>
            <w:r>
              <w:rPr>
                <w:rFonts w:ascii="arial" w:hAnsi="arial"/>
                <w:b/>
                <w:i/>
                <w:spacing w:val="0"/>
                <w:sz w:val="18"/>
              </w:rPr>
              <w:t>Adjustments for Stock and Option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3390"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34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390" w:type="dxa"/>
            <w:tcBorders/>
            <w:shd w:fill="EFECE8" w:val="clear"/>
            <w:vAlign w:val="center"/>
          </w:tcPr>
          <w:p>
            <w:pPr>
              <w:pStyle w:val="TableContents"/>
              <w:bidi w:val="0"/>
              <w:spacing w:before="0" w:after="0"/>
              <w:jc w:val="left"/>
              <w:rPr>
                <w:rFonts w:ascii="arial" w:hAnsi="arial"/>
                <w:sz w:val="18"/>
              </w:rPr>
            </w:pPr>
            <w:r>
              <w:rPr>
                <w:rFonts w:ascii="arial" w:hAnsi="arial"/>
                <w:sz w:val="18"/>
              </w:rPr>
              <w:t>Adjustment for grant date fair values in the Summary Compensation Table</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(6,096,424</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(4,940,574</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(1,825,900</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(6,377,940</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(1,445,960</w:t>
            </w:r>
          </w:p>
        </w:tc>
        <w:tc>
          <w:tcPr>
            <w:tcW w:w="170" w:type="dxa"/>
            <w:tcBorders/>
            <w:shd w:fill="EFECE8" w:val="clear"/>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3390" w:type="dxa"/>
            <w:tcBorders/>
            <w:vAlign w:val="center"/>
          </w:tcPr>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 of unvested awards granted in the covered fiscal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3,958,387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5,365,601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10,641,357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2,075,714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1,671,287</w:t>
            </w:r>
          </w:p>
        </w:tc>
        <w:tc>
          <w:tcPr>
            <w:tcW w:w="170" w:type="dxa"/>
            <w:tcBorders/>
            <w:vAlign w:val="center"/>
          </w:tcPr>
          <w:p>
            <w:pPr>
              <w:pStyle w:val="TableContents"/>
              <w:bidi w:val="0"/>
              <w:spacing w:before="0" w:after="283"/>
              <w:jc w:val="left"/>
              <w:rPr/>
            </w:pPr>
            <w:r>
              <w:rPr/>
              <w:t> </w:t>
            </w:r>
          </w:p>
        </w:tc>
      </w:tr>
      <w:tr>
        <w:trPr/>
        <w:tc>
          <w:tcPr>
            <w:tcW w:w="3390"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34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390" w:type="dxa"/>
            <w:tcBorders/>
            <w:shd w:fill="EFECE8" w:val="clear"/>
            <w:vAlign w:val="center"/>
          </w:tcPr>
          <w:p>
            <w:pPr>
              <w:pStyle w:val="TableContents"/>
              <w:bidi w:val="0"/>
              <w:spacing w:before="0" w:after="0"/>
              <w:jc w:val="left"/>
              <w:rPr>
                <w:rFonts w:ascii="arial" w:hAnsi="arial"/>
                <w:sz w:val="18"/>
              </w:rPr>
            </w:pPr>
            <w:r>
              <w:rPr>
                <w:rFonts w:ascii="arial" w:hAnsi="arial"/>
                <w:sz w:val="18"/>
              </w:rPr>
              <w:t xml:space="preserve">Year-over-year difference of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values for unvested awards granted in prior years that remained outstanding at the covered fiscal year end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(2,382,164</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3,440,246</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8,789,191</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(136,012</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67,306</w:t>
            </w:r>
          </w:p>
        </w:tc>
        <w:tc>
          <w:tcPr>
            <w:tcW w:w="170" w:type="dxa"/>
            <w:tcBorders/>
            <w:shd w:fill="EFECE8" w:val="clear"/>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3390" w:type="dxa"/>
            <w:tcBorders/>
            <w:vAlign w:val="center"/>
          </w:tcPr>
          <w:p>
            <w:pPr>
              <w:pStyle w:val="TableContents"/>
              <w:bidi w:val="0"/>
              <w:spacing w:before="0" w:after="0"/>
              <w:jc w:val="left"/>
              <w:rPr>
                <w:rFonts w:ascii="arial" w:hAnsi="arial"/>
                <w:sz w:val="18"/>
              </w:rPr>
            </w:pPr>
            <w:r>
              <w:rPr>
                <w:rFonts w:ascii="arial" w:hAnsi="arial"/>
                <w:sz w:val="18"/>
              </w:rPr>
              <w:t>Fair values at vest date for awards granted and vested in covered fiscal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971,689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532,735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1,647,831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949,688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312,077</w:t>
            </w:r>
          </w:p>
        </w:tc>
        <w:tc>
          <w:tcPr>
            <w:tcW w:w="170" w:type="dxa"/>
            <w:tcBorders/>
            <w:vAlign w:val="center"/>
          </w:tcPr>
          <w:p>
            <w:pPr>
              <w:pStyle w:val="TableContents"/>
              <w:bidi w:val="0"/>
              <w:spacing w:before="0" w:after="283"/>
              <w:jc w:val="left"/>
              <w:rPr/>
            </w:pPr>
            <w:r>
              <w:rPr/>
              <w:t> </w:t>
            </w:r>
          </w:p>
        </w:tc>
      </w:tr>
      <w:tr>
        <w:trPr/>
        <w:tc>
          <w:tcPr>
            <w:tcW w:w="3390"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75"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34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390" w:type="dxa"/>
            <w:tcBorders/>
            <w:shd w:fill="EFECE8" w:val="clear"/>
            <w:vAlign w:val="center"/>
          </w:tcPr>
          <w:p>
            <w:pPr>
              <w:pStyle w:val="TableContents"/>
              <w:bidi w:val="0"/>
              <w:spacing w:before="0" w:after="0"/>
              <w:jc w:val="left"/>
              <w:rPr>
                <w:rFonts w:ascii="arial" w:hAnsi="arial"/>
                <w:sz w:val="18"/>
              </w:rPr>
            </w:pPr>
            <w:r>
              <w:rPr>
                <w:rFonts w:ascii="arial" w:hAnsi="arial"/>
                <w:sz w:val="18"/>
              </w:rPr>
              <w:t xml:space="preserve">Difference in fair values between prior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values and vest date fair values for awards granted in prior years and vesting in the covered fiscal year</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4,976,159</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1,684,536</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100" w:type="dxa"/>
            <w:tcBorders/>
            <w:shd w:fill="EFECE8" w:val="clear"/>
            <w:vAlign w:val="center"/>
          </w:tcPr>
          <w:p>
            <w:pPr>
              <w:pStyle w:val="TableContents"/>
              <w:bidi w:val="0"/>
              <w:spacing w:before="0" w:after="283"/>
              <w:jc w:val="right"/>
              <w:rPr/>
            </w:pPr>
            <w:r>
              <w:rPr/>
              <w:t>2,680,973</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1,291,136</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(325,501</w:t>
            </w:r>
          </w:p>
        </w:tc>
        <w:tc>
          <w:tcPr>
            <w:tcW w:w="170" w:type="dxa"/>
            <w:tcBorders/>
            <w:shd w:fill="EFECE8" w:val="clear"/>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345" w:type="dxa"/>
            <w:gridSpan w:val="4"/>
            <w:tcBorders/>
            <w:vAlign w:val="center"/>
          </w:tcPr>
          <w:p>
            <w:pPr>
              <w:pStyle w:val="TableContents"/>
              <w:bidi w:val="0"/>
              <w:spacing w:before="0" w:after="283"/>
              <w:jc w:val="left"/>
              <w:rPr>
                <w:sz w:val="4"/>
                <w:szCs w:val="4"/>
              </w:rPr>
            </w:pPr>
            <w:r>
              <w:rPr>
                <w:sz w:val="4"/>
                <w:szCs w:val="4"/>
              </w:rPr>
            </w:r>
          </w:p>
        </w:tc>
      </w:tr>
      <w:tr>
        <w:trPr/>
        <w:tc>
          <w:tcPr>
            <w:tcW w:w="3390" w:type="dxa"/>
            <w:tcBorders>
              <w:bottom w:val="single" w:sz="8" w:space="0" w:color="A41F35"/>
            </w:tcBorders>
            <w:tcMar>
              <w:bottom w:w="40" w:type="dxa"/>
            </w:tcMar>
            <w:vAlign w:val="center"/>
          </w:tcPr>
          <w:p>
            <w:pPr>
              <w:pStyle w:val="TableContents"/>
              <w:bidi w:val="0"/>
              <w:spacing w:before="0" w:after="0"/>
              <w:jc w:val="left"/>
              <w:rPr>
                <w:rFonts w:ascii="arial" w:hAnsi="arial"/>
                <w:b/>
                <w:spacing w:val="0"/>
                <w:sz w:val="18"/>
                <w:u w:val="single"/>
              </w:rPr>
            </w:pPr>
            <w:r>
              <w:rPr>
                <w:rFonts w:ascii="arial" w:hAnsi="arial"/>
                <w:b/>
                <w:spacing w:val="0"/>
                <w:sz w:val="18"/>
                <w:u w:val="single"/>
              </w:rPr>
              <w:t>Compensation Actually Paid (as calculated)</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055"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9,626,783</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100"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12,840,614</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100"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25,221,314</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055"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5,172,952</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055"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2,664,897</w:t>
            </w:r>
          </w:p>
        </w:tc>
        <w:tc>
          <w:tcPr>
            <w:tcW w:w="17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05"/>
        <w:gridCol w:w="120"/>
        <w:gridCol w:w="60"/>
        <w:gridCol w:w="1055"/>
        <w:gridCol w:w="155"/>
        <w:gridCol w:w="60"/>
        <w:gridCol w:w="60"/>
        <w:gridCol w:w="1055"/>
        <w:gridCol w:w="155"/>
        <w:gridCol w:w="60"/>
        <w:gridCol w:w="60"/>
        <w:gridCol w:w="980"/>
        <w:gridCol w:w="155"/>
        <w:gridCol w:w="60"/>
        <w:gridCol w:w="60"/>
        <w:gridCol w:w="980"/>
        <w:gridCol w:w="155"/>
        <w:gridCol w:w="60"/>
        <w:gridCol w:w="60"/>
        <w:gridCol w:w="980"/>
        <w:gridCol w:w="170"/>
      </w:tblGrid>
      <w:tr>
        <w:trPr/>
        <w:tc>
          <w:tcPr>
            <w:tcW w:w="3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05"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210" w:type="dxa"/>
            <w:gridSpan w:val="18"/>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 xml:space="preserve">Average CAP 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t>NEOs</w:t>
            </w:r>
          </w:p>
        </w:tc>
        <w:tc>
          <w:tcPr>
            <w:tcW w:w="170" w:type="dxa"/>
            <w:tcBorders>
              <w:bottom w:val="single" w:sz="16" w:space="0" w:color="A41F35"/>
            </w:tcBorders>
            <w:tcMar>
              <w:bottom w:w="28" w:type="dxa"/>
            </w:tcMar>
            <w:vAlign w:val="center"/>
          </w:tcPr>
          <w:p>
            <w:pPr>
              <w:pStyle w:val="TableContents"/>
              <w:bidi w:val="0"/>
              <w:spacing w:before="0" w:after="283"/>
              <w:jc w:val="left"/>
              <w:rPr/>
            </w:pPr>
            <w:r>
              <w:rPr/>
              <w:t> </w:t>
            </w:r>
          </w:p>
        </w:tc>
      </w:tr>
      <w:tr>
        <w:trPr/>
        <w:tc>
          <w:tcPr>
            <w:tcW w:w="3705"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2020</w:t>
            </w:r>
          </w:p>
        </w:tc>
        <w:tc>
          <w:tcPr>
            <w:tcW w:w="170" w:type="dxa"/>
            <w:tcBorders/>
            <w:vAlign w:val="center"/>
          </w:tcPr>
          <w:p>
            <w:pPr>
              <w:pStyle w:val="TableContents"/>
              <w:bidi w:val="0"/>
              <w:spacing w:before="0" w:after="283"/>
              <w:jc w:val="left"/>
              <w:rPr/>
            </w:pPr>
            <w:r>
              <w:rPr/>
              <w:t> </w:t>
            </w:r>
          </w:p>
        </w:tc>
      </w:tr>
      <w:tr>
        <w:trPr/>
        <w:tc>
          <w:tcPr>
            <w:tcW w:w="3705" w:type="dxa"/>
            <w:tcBorders>
              <w:bottom w:val="single" w:sz="16" w:space="0" w:color="A41F35"/>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15"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55" w:type="dxa"/>
            <w:tcBorders>
              <w:bottom w:val="single" w:sz="16" w:space="0" w:color="A41F35"/>
            </w:tcBorders>
            <w:tcMar>
              <w:bottom w:w="28" w:type="dxa"/>
            </w:tcMar>
            <w:vAlign w:val="center"/>
          </w:tcPr>
          <w:p>
            <w:pPr>
              <w:pStyle w:val="TableContents"/>
              <w:bidi w:val="0"/>
              <w:spacing w:before="0" w:after="283"/>
              <w:jc w:val="left"/>
              <w:rPr/>
            </w:pPr>
            <w:r>
              <w:rPr/>
              <w:t> </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040" w:type="dxa"/>
            <w:gridSpan w:val="2"/>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w:t>
            </w:r>
          </w:p>
        </w:tc>
        <w:tc>
          <w:tcPr>
            <w:tcW w:w="170" w:type="dxa"/>
            <w:tcBorders>
              <w:bottom w:val="single" w:sz="16" w:space="0" w:color="A41F35"/>
            </w:tcBorders>
            <w:tcMar>
              <w:bottom w:w="28" w:type="dxa"/>
            </w:tcMar>
            <w:vAlign w:val="center"/>
          </w:tcPr>
          <w:p>
            <w:pPr>
              <w:pStyle w:val="TableContents"/>
              <w:bidi w:val="0"/>
              <w:spacing w:before="0" w:after="283"/>
              <w:jc w:val="left"/>
              <w:rPr/>
            </w:pPr>
            <w:r>
              <w:rPr/>
              <w:t> </w:t>
            </w:r>
          </w:p>
        </w:tc>
      </w:tr>
      <w:tr>
        <w:trPr/>
        <w:tc>
          <w:tcPr>
            <w:tcW w:w="3705"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70"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705" w:type="dxa"/>
            <w:tcBorders/>
            <w:shd w:fill="EFECE8" w:val="clear"/>
            <w:vAlign w:val="center"/>
          </w:tcPr>
          <w:p>
            <w:pPr>
              <w:pStyle w:val="TableContents"/>
              <w:bidi w:val="0"/>
              <w:spacing w:before="0" w:after="0"/>
              <w:jc w:val="left"/>
              <w:rPr>
                <w:rFonts w:ascii="arial" w:hAnsi="arial"/>
                <w:b/>
                <w:sz w:val="18"/>
              </w:rPr>
            </w:pPr>
            <w:r>
              <w:rPr>
                <w:rFonts w:ascii="arial" w:hAnsi="arial"/>
                <w:b/>
                <w:sz w:val="18"/>
              </w:rPr>
              <w:t>Summary Compensation Table Total</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055" w:type="dxa"/>
            <w:tcBorders/>
            <w:shd w:fill="EFECE8" w:val="clear"/>
            <w:vAlign w:val="center"/>
          </w:tcPr>
          <w:p>
            <w:pPr>
              <w:pStyle w:val="TableContents"/>
              <w:bidi w:val="0"/>
              <w:spacing w:before="0" w:after="0"/>
              <w:jc w:val="right"/>
              <w:rPr>
                <w:b/>
                <w:spacing w:val="0"/>
              </w:rPr>
            </w:pPr>
            <w:r>
              <w:rPr>
                <w:b/>
                <w:spacing w:val="0"/>
              </w:rPr>
              <w:t>2,983,724</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1055" w:type="dxa"/>
            <w:tcBorders/>
            <w:shd w:fill="EFECE8" w:val="clear"/>
            <w:vAlign w:val="center"/>
          </w:tcPr>
          <w:p>
            <w:pPr>
              <w:pStyle w:val="TableContents"/>
              <w:bidi w:val="0"/>
              <w:spacing w:before="0" w:after="0"/>
              <w:jc w:val="right"/>
              <w:rPr>
                <w:b/>
                <w:spacing w:val="0"/>
              </w:rPr>
            </w:pPr>
            <w:r>
              <w:rPr>
                <w:b/>
                <w:spacing w:val="0"/>
              </w:rPr>
              <w:t>2,493,824</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980" w:type="dxa"/>
            <w:tcBorders/>
            <w:shd w:fill="EFECE8" w:val="clear"/>
            <w:vAlign w:val="center"/>
          </w:tcPr>
          <w:p>
            <w:pPr>
              <w:pStyle w:val="TableContents"/>
              <w:bidi w:val="0"/>
              <w:spacing w:before="0" w:after="0"/>
              <w:jc w:val="right"/>
              <w:rPr>
                <w:b/>
                <w:spacing w:val="0"/>
              </w:rPr>
            </w:pPr>
            <w:r>
              <w:rPr>
                <w:b/>
                <w:spacing w:val="0"/>
              </w:rPr>
              <w:t>958,883</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980" w:type="dxa"/>
            <w:tcBorders/>
            <w:shd w:fill="EFECE8" w:val="clear"/>
            <w:vAlign w:val="center"/>
          </w:tcPr>
          <w:p>
            <w:pPr>
              <w:pStyle w:val="TableContents"/>
              <w:bidi w:val="0"/>
              <w:spacing w:before="0" w:after="0"/>
              <w:jc w:val="right"/>
              <w:rPr>
                <w:b/>
                <w:spacing w:val="0"/>
              </w:rPr>
            </w:pPr>
            <w:r>
              <w:rPr>
                <w:b/>
                <w:spacing w:val="0"/>
              </w:rPr>
              <w:t>1,441,564</w:t>
            </w:r>
          </w:p>
        </w:tc>
        <w:tc>
          <w:tcPr>
            <w:tcW w:w="155" w:type="dxa"/>
            <w:tcBorders/>
            <w:shd w:fill="EFECE8" w:val="clear"/>
            <w:vAlign w:val="center"/>
          </w:tcPr>
          <w:p>
            <w:pPr>
              <w:pStyle w:val="TableContents"/>
              <w:bidi w:val="0"/>
              <w:spacing w:before="0" w:after="0"/>
              <w:jc w:val="left"/>
              <w:rPr>
                <w:spacing w:val="0"/>
              </w:rPr>
            </w:pPr>
            <w:r>
              <w:rPr>
                <w:spacing w:val="0"/>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0"/>
              <w:jc w:val="left"/>
              <w:rPr>
                <w:spacing w:val="0"/>
              </w:rPr>
            </w:pPr>
            <w:r>
              <w:rPr>
                <w:spacing w:val="0"/>
              </w:rPr>
              <w:t> </w:t>
            </w:r>
          </w:p>
        </w:tc>
        <w:tc>
          <w:tcPr>
            <w:tcW w:w="980" w:type="dxa"/>
            <w:tcBorders/>
            <w:shd w:fill="EFECE8" w:val="clear"/>
            <w:vAlign w:val="center"/>
          </w:tcPr>
          <w:p>
            <w:pPr>
              <w:pStyle w:val="TableContents"/>
              <w:bidi w:val="0"/>
              <w:spacing w:before="0" w:after="0"/>
              <w:jc w:val="right"/>
              <w:rPr>
                <w:b/>
                <w:spacing w:val="0"/>
              </w:rPr>
            </w:pPr>
            <w:r>
              <w:rPr>
                <w:b/>
                <w:spacing w:val="0"/>
              </w:rPr>
              <w:t>928,500</w:t>
            </w:r>
          </w:p>
        </w:tc>
        <w:tc>
          <w:tcPr>
            <w:tcW w:w="170" w:type="dxa"/>
            <w:tcBorders/>
            <w:shd w:fill="EFECE8" w:val="clear"/>
            <w:vAlign w:val="center"/>
          </w:tcPr>
          <w:p>
            <w:pPr>
              <w:pStyle w:val="TableContents"/>
              <w:bidi w:val="0"/>
              <w:spacing w:before="0" w:after="0"/>
              <w:jc w:val="left"/>
              <w:rPr>
                <w:spacing w:val="0"/>
              </w:rPr>
            </w:pPr>
            <w:r>
              <w:rPr>
                <w:spacing w:val="0"/>
              </w:rPr>
              <w:t> </w:t>
            </w:r>
          </w:p>
        </w:tc>
      </w:tr>
      <w:tr>
        <w:trPr/>
        <w:tc>
          <w:tcPr>
            <w:tcW w:w="3705"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r>
      <w:tr>
        <w:trPr/>
        <w:tc>
          <w:tcPr>
            <w:tcW w:w="3705" w:type="dxa"/>
            <w:tcBorders/>
            <w:vAlign w:val="center"/>
          </w:tcPr>
          <w:p>
            <w:pPr>
              <w:pStyle w:val="TableContents"/>
              <w:bidi w:val="0"/>
              <w:spacing w:before="0" w:after="0"/>
              <w:jc w:val="left"/>
              <w:rPr>
                <w:rFonts w:ascii="arial" w:hAnsi="arial"/>
                <w:b/>
                <w:i/>
                <w:spacing w:val="0"/>
                <w:sz w:val="18"/>
              </w:rPr>
            </w:pPr>
            <w:r>
              <w:rPr>
                <w:rFonts w:ascii="arial" w:hAnsi="arial"/>
                <w:b/>
                <w:i/>
                <w:spacing w:val="0"/>
                <w:sz w:val="18"/>
              </w:rPr>
              <w:t>Adjustments for Stock and Option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3705"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70"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705" w:type="dxa"/>
            <w:tcBorders/>
            <w:shd w:fill="EFECE8" w:val="clear"/>
            <w:vAlign w:val="center"/>
          </w:tcPr>
          <w:p>
            <w:pPr>
              <w:pStyle w:val="TableContents"/>
              <w:bidi w:val="0"/>
              <w:spacing w:before="0" w:after="0"/>
              <w:jc w:val="left"/>
              <w:rPr>
                <w:rFonts w:ascii="arial" w:hAnsi="arial"/>
                <w:sz w:val="18"/>
              </w:rPr>
            </w:pPr>
            <w:r>
              <w:rPr>
                <w:rFonts w:ascii="arial" w:hAnsi="arial"/>
                <w:sz w:val="18"/>
              </w:rPr>
              <w:t>Adjustment for grant date fair values in the Summary Compensation Table</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(2,053,545</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(1,738,234</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(328,662</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(977,265</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(405,485</w:t>
            </w:r>
          </w:p>
        </w:tc>
        <w:tc>
          <w:tcPr>
            <w:tcW w:w="170" w:type="dxa"/>
            <w:tcBorders/>
            <w:shd w:fill="EFECE8" w:val="clear"/>
            <w:vAlign w:val="center"/>
          </w:tcPr>
          <w:p>
            <w:pPr>
              <w:pStyle w:val="TableContents"/>
              <w:bidi w:val="0"/>
              <w:spacing w:before="0" w:after="283"/>
              <w:jc w:val="left"/>
              <w:rPr/>
            </w:pPr>
            <w:r>
              <w:rPr/>
              <w:t>) </w:t>
            </w:r>
          </w:p>
        </w:tc>
      </w:tr>
      <w:tr>
        <w:trPr/>
        <w:tc>
          <w:tcPr>
            <w:tcW w:w="3705"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r>
      <w:tr>
        <w:trPr/>
        <w:tc>
          <w:tcPr>
            <w:tcW w:w="3705" w:type="dxa"/>
            <w:tcBorders/>
            <w:vAlign w:val="center"/>
          </w:tcPr>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 of unvested awards granted in the covered fiscal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1,079,261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1,822,445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1,915,468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318,056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469,469</w:t>
            </w:r>
          </w:p>
        </w:tc>
        <w:tc>
          <w:tcPr>
            <w:tcW w:w="170" w:type="dxa"/>
            <w:tcBorders/>
            <w:vAlign w:val="center"/>
          </w:tcPr>
          <w:p>
            <w:pPr>
              <w:pStyle w:val="TableContents"/>
              <w:bidi w:val="0"/>
              <w:spacing w:before="0" w:after="283"/>
              <w:jc w:val="left"/>
              <w:rPr/>
            </w:pPr>
            <w:r>
              <w:rPr/>
              <w:t> </w:t>
            </w:r>
          </w:p>
        </w:tc>
      </w:tr>
      <w:tr>
        <w:trPr/>
        <w:tc>
          <w:tcPr>
            <w:tcW w:w="3705"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70"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705" w:type="dxa"/>
            <w:tcBorders/>
            <w:shd w:fill="EFECE8" w:val="clear"/>
            <w:vAlign w:val="center"/>
          </w:tcPr>
          <w:p>
            <w:pPr>
              <w:pStyle w:val="TableContents"/>
              <w:bidi w:val="0"/>
              <w:spacing w:before="0" w:after="0"/>
              <w:jc w:val="left"/>
              <w:rPr>
                <w:rFonts w:ascii="arial" w:hAnsi="arial"/>
                <w:sz w:val="18"/>
              </w:rPr>
            </w:pPr>
            <w:r>
              <w:rPr>
                <w:rFonts w:ascii="arial" w:hAnsi="arial"/>
                <w:sz w:val="18"/>
              </w:rPr>
              <w:t xml:space="preserve">Year-over-year difference of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values for unvested awards granted in prior years that remained outstanding at the covered fiscal year end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(371,623</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372,583</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1,344,256</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(16,871</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9,332</w:t>
            </w:r>
          </w:p>
        </w:tc>
        <w:tc>
          <w:tcPr>
            <w:tcW w:w="170" w:type="dxa"/>
            <w:tcBorders/>
            <w:shd w:fill="EFECE8" w:val="clear"/>
            <w:vAlign w:val="center"/>
          </w:tcPr>
          <w:p>
            <w:pPr>
              <w:pStyle w:val="TableContents"/>
              <w:bidi w:val="0"/>
              <w:spacing w:before="0" w:after="283"/>
              <w:jc w:val="left"/>
              <w:rPr/>
            </w:pPr>
            <w:r>
              <w:rPr/>
              <w:t> </w:t>
            </w:r>
          </w:p>
        </w:tc>
      </w:tr>
      <w:tr>
        <w:trPr/>
        <w:tc>
          <w:tcPr>
            <w:tcW w:w="3705"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r>
      <w:tr>
        <w:trPr/>
        <w:tc>
          <w:tcPr>
            <w:tcW w:w="3705" w:type="dxa"/>
            <w:tcBorders/>
            <w:vAlign w:val="center"/>
          </w:tcPr>
          <w:p>
            <w:pPr>
              <w:pStyle w:val="TableContents"/>
              <w:bidi w:val="0"/>
              <w:spacing w:before="0" w:after="0"/>
              <w:jc w:val="left"/>
              <w:rPr>
                <w:rFonts w:ascii="arial" w:hAnsi="arial"/>
                <w:sz w:val="18"/>
              </w:rPr>
            </w:pPr>
            <w:r>
              <w:rPr>
                <w:rFonts w:ascii="arial" w:hAnsi="arial"/>
                <w:sz w:val="18"/>
              </w:rPr>
              <w:t>Fair values at vest date for awards granted and vested in covered fiscal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188,739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93,271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296,601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145,504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87,658</w:t>
            </w:r>
          </w:p>
        </w:tc>
        <w:tc>
          <w:tcPr>
            <w:tcW w:w="170" w:type="dxa"/>
            <w:tcBorders/>
            <w:vAlign w:val="center"/>
          </w:tcPr>
          <w:p>
            <w:pPr>
              <w:pStyle w:val="TableContents"/>
              <w:bidi w:val="0"/>
              <w:spacing w:before="0" w:after="283"/>
              <w:jc w:val="left"/>
              <w:rPr/>
            </w:pPr>
            <w:r>
              <w:rPr/>
              <w:t> </w:t>
            </w:r>
          </w:p>
        </w:tc>
      </w:tr>
      <w:tr>
        <w:trPr/>
        <w:tc>
          <w:tcPr>
            <w:tcW w:w="3705" w:type="dxa"/>
            <w:tcBorders/>
            <w:shd w:fill="EFECE8" w:val="clear"/>
            <w:vAlign w:val="center"/>
          </w:tcPr>
          <w:p>
            <w:pPr>
              <w:pStyle w:val="TableContents"/>
              <w:bidi w:val="0"/>
              <w:spacing w:before="0" w:after="283"/>
              <w:jc w:val="left"/>
              <w:rPr>
                <w:sz w:val="4"/>
                <w:szCs w:val="4"/>
              </w:rPr>
            </w:pPr>
            <w:r>
              <w:rPr>
                <w:sz w:val="4"/>
                <w:szCs w:val="4"/>
              </w:rPr>
            </w:r>
          </w:p>
        </w:tc>
        <w:tc>
          <w:tcPr>
            <w:tcW w:w="1390" w:type="dxa"/>
            <w:gridSpan w:val="4"/>
            <w:tcBorders/>
            <w:shd w:fill="EFECE8" w:val="clear"/>
            <w:vAlign w:val="center"/>
          </w:tcPr>
          <w:p>
            <w:pPr>
              <w:pStyle w:val="TableContents"/>
              <w:bidi w:val="0"/>
              <w:spacing w:before="0" w:after="283"/>
              <w:jc w:val="left"/>
              <w:rPr>
                <w:sz w:val="4"/>
                <w:szCs w:val="4"/>
              </w:rPr>
            </w:pPr>
            <w:r>
              <w:rPr>
                <w:sz w:val="4"/>
                <w:szCs w:val="4"/>
              </w:rPr>
            </w:r>
          </w:p>
        </w:tc>
        <w:tc>
          <w:tcPr>
            <w:tcW w:w="1330"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55" w:type="dxa"/>
            <w:gridSpan w:val="4"/>
            <w:tcBorders/>
            <w:shd w:fill="EFECE8" w:val="clear"/>
            <w:vAlign w:val="center"/>
          </w:tcPr>
          <w:p>
            <w:pPr>
              <w:pStyle w:val="TableContents"/>
              <w:bidi w:val="0"/>
              <w:spacing w:before="0" w:after="283"/>
              <w:jc w:val="left"/>
              <w:rPr>
                <w:sz w:val="4"/>
                <w:szCs w:val="4"/>
              </w:rPr>
            </w:pPr>
            <w:r>
              <w:rPr>
                <w:sz w:val="4"/>
                <w:szCs w:val="4"/>
              </w:rPr>
            </w:r>
          </w:p>
        </w:tc>
        <w:tc>
          <w:tcPr>
            <w:tcW w:w="1270"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3705" w:type="dxa"/>
            <w:tcBorders/>
            <w:shd w:fill="EFECE8" w:val="clear"/>
            <w:vAlign w:val="center"/>
          </w:tcPr>
          <w:p>
            <w:pPr>
              <w:pStyle w:val="TableContents"/>
              <w:bidi w:val="0"/>
              <w:spacing w:before="0" w:after="0"/>
              <w:jc w:val="left"/>
              <w:rPr>
                <w:rFonts w:ascii="arial" w:hAnsi="arial"/>
                <w:sz w:val="18"/>
              </w:rPr>
            </w:pPr>
            <w:r>
              <w:rPr>
                <w:rFonts w:ascii="arial" w:hAnsi="arial"/>
                <w:sz w:val="18"/>
              </w:rPr>
              <w:t xml:space="preserve">Difference in fair values between prior </w:t>
            </w:r>
          </w:p>
          <w:p>
            <w:pPr>
              <w:pStyle w:val="TableContents"/>
              <w:bidi w:val="0"/>
              <w:spacing w:before="0" w:after="0"/>
              <w:jc w:val="left"/>
              <w:rPr>
                <w:rFonts w:ascii="arial" w:hAnsi="arial"/>
                <w:spacing w:val="0"/>
                <w:sz w:val="18"/>
              </w:rPr>
            </w:pPr>
            <w:r>
              <w:rPr>
                <w:rFonts w:ascii="arial" w:hAnsi="arial"/>
                <w:spacing w:val="0"/>
                <w:sz w:val="18"/>
              </w:rPr>
              <w:t>year-end</w:t>
            </w:r>
          </w:p>
          <w:p>
            <w:pPr>
              <w:pStyle w:val="TableContents"/>
              <w:bidi w:val="0"/>
              <w:spacing w:before="0" w:after="0"/>
              <w:jc w:val="left"/>
              <w:rPr>
                <w:rFonts w:ascii="arial" w:hAnsi="arial"/>
                <w:sz w:val="18"/>
              </w:rPr>
            </w:pPr>
            <w:r>
              <w:rPr>
                <w:rFonts w:ascii="arial" w:hAnsi="arial"/>
                <w:sz w:val="18"/>
              </w:rPr>
              <w:t>fair values and vest date fair values for awards granted in prior years and vesting in the covered fiscal year</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571,594</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1055" w:type="dxa"/>
            <w:tcBorders/>
            <w:shd w:fill="EFECE8" w:val="clear"/>
            <w:vAlign w:val="center"/>
          </w:tcPr>
          <w:p>
            <w:pPr>
              <w:pStyle w:val="TableContents"/>
              <w:bidi w:val="0"/>
              <w:spacing w:before="0" w:after="283"/>
              <w:jc w:val="right"/>
              <w:rPr/>
            </w:pPr>
            <w:r>
              <w:rPr/>
              <w:t>183,922</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352,765</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159,408</w:t>
            </w:r>
          </w:p>
        </w:tc>
        <w:tc>
          <w:tcPr>
            <w:tcW w:w="155"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(48,666</w:t>
            </w:r>
          </w:p>
        </w:tc>
        <w:tc>
          <w:tcPr>
            <w:tcW w:w="170" w:type="dxa"/>
            <w:tcBorders/>
            <w:shd w:fill="EFECE8" w:val="clear"/>
            <w:vAlign w:val="center"/>
          </w:tcPr>
          <w:p>
            <w:pPr>
              <w:pStyle w:val="TableContents"/>
              <w:bidi w:val="0"/>
              <w:spacing w:before="0" w:after="283"/>
              <w:jc w:val="left"/>
              <w:rPr/>
            </w:pPr>
            <w:r>
              <w:rPr/>
              <w:t>) </w:t>
            </w:r>
          </w:p>
        </w:tc>
      </w:tr>
      <w:tr>
        <w:trPr/>
        <w:tc>
          <w:tcPr>
            <w:tcW w:w="3705" w:type="dxa"/>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330"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55"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r>
      <w:tr>
        <w:trPr/>
        <w:tc>
          <w:tcPr>
            <w:tcW w:w="3705" w:type="dxa"/>
            <w:tcBorders>
              <w:bottom w:val="single" w:sz="8" w:space="0" w:color="A41F35"/>
            </w:tcBorders>
            <w:tcMar>
              <w:bottom w:w="40" w:type="dxa"/>
            </w:tcMar>
            <w:vAlign w:val="center"/>
          </w:tcPr>
          <w:p>
            <w:pPr>
              <w:pStyle w:val="TableContents"/>
              <w:bidi w:val="0"/>
              <w:spacing w:before="0" w:after="0"/>
              <w:jc w:val="left"/>
              <w:rPr>
                <w:rFonts w:ascii="arial" w:hAnsi="arial"/>
                <w:b/>
                <w:spacing w:val="0"/>
                <w:sz w:val="18"/>
                <w:u w:val="single"/>
              </w:rPr>
            </w:pPr>
            <w:r>
              <w:rPr>
                <w:rFonts w:ascii="arial" w:hAnsi="arial"/>
                <w:b/>
                <w:spacing w:val="0"/>
                <w:sz w:val="18"/>
                <w:u w:val="single"/>
              </w:rPr>
              <w:t>Compensation Actually Paid (as calculated)</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055"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2,398,150</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1055"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3,227,811</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980"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4,539,310</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980"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1,070,395</w:t>
            </w:r>
          </w:p>
        </w:tc>
        <w:tc>
          <w:tcPr>
            <w:tcW w:w="155"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60" w:type="dxa"/>
            <w:tcBorders>
              <w:bottom w:val="single" w:sz="8" w:space="0" w:color="A41F35"/>
            </w:tcBorders>
            <w:tcMar>
              <w:bottom w:w="28" w:type="dxa"/>
            </w:tcMar>
            <w:vAlign w:val="center"/>
          </w:tcPr>
          <w:p>
            <w:pPr>
              <w:pStyle w:val="TableContents"/>
              <w:bidi w:val="0"/>
              <w:spacing w:before="0" w:after="283"/>
              <w:jc w:val="left"/>
              <w:rPr/>
            </w:pPr>
            <w:r>
              <w:rPr/>
              <w:t> </w:t>
            </w:r>
          </w:p>
        </w:tc>
        <w:tc>
          <w:tcPr>
            <w:tcW w:w="6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c>
          <w:tcPr>
            <w:tcW w:w="980" w:type="dxa"/>
            <w:tcBorders>
              <w:bottom w:val="single" w:sz="8" w:space="0" w:color="A41F35"/>
            </w:tcBorders>
            <w:tcMar>
              <w:bottom w:w="40" w:type="dxa"/>
            </w:tcMar>
            <w:vAlign w:val="center"/>
          </w:tcPr>
          <w:p>
            <w:pPr>
              <w:pStyle w:val="TableContents"/>
              <w:bidi w:val="0"/>
              <w:spacing w:before="0" w:after="0"/>
              <w:jc w:val="right"/>
              <w:rPr>
                <w:b/>
                <w:spacing w:val="0"/>
              </w:rPr>
            </w:pPr>
            <w:r>
              <w:rPr>
                <w:b/>
                <w:spacing w:val="0"/>
              </w:rPr>
              <w:t>1,040,808</w:t>
            </w:r>
          </w:p>
        </w:tc>
        <w:tc>
          <w:tcPr>
            <w:tcW w:w="170" w:type="dxa"/>
            <w:tcBorders>
              <w:bottom w:val="single" w:sz="8" w:space="0" w:color="A41F35"/>
            </w:tcBorders>
            <w:tcMar>
              <w:bottom w:w="40" w:type="dxa"/>
            </w:tcM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38"/>
        <w:gridCol w:w="60"/>
        <w:gridCol w:w="260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right"/>
              <w:rPr/>
            </w:pPr>
            <w:r>
              <w:rPr/>
              <w:t>  </w:t>
            </w:r>
          </w:p>
          <w:p>
            <w:pPr>
              <w:pStyle w:val="TableContents"/>
              <w:bidi w:val="0"/>
              <w:spacing w:before="0" w:after="0"/>
              <w:jc w:val="right"/>
              <w:rPr>
                <w:b/>
                <w:color w:val="A41F35"/>
                <w:spacing w:val="0"/>
              </w:rPr>
            </w:pPr>
            <w:r>
              <w:rPr>
                <w:b/>
                <w:color w:val="A41F35"/>
                <w:spacing w:val="0"/>
              </w:rPr>
              <w:t>TransMedics Group, Inc.</w:t>
            </w:r>
          </w:p>
          <w:p>
            <w:pPr>
              <w:pStyle w:val="TableContents"/>
              <w:bidi w:val="0"/>
              <w:spacing w:before="0" w:after="0"/>
              <w:jc w:val="right"/>
              <w:rPr/>
            </w:pPr>
            <w:r>
              <w:rPr/>
              <w:t>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b/>
                <w:spacing w:val="0"/>
              </w:rPr>
            </w:pPr>
            <w:r>
              <w:rPr>
                <w:b/>
                <w:spacing w:val="0"/>
              </w:rPr>
              <w:t>45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The valuation of RSU awards included as part of CAP was based on the grant date closing price and the closing price on the applicable vesting date or fiscal year end. The following summarizes the valuation assumptions used for stock option awards included as part of CAP: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Expected life of each stock option is based on the “simplified method” using an average of the remaining vesting period and remaining term, as of the applicable vesting date or fiscal year end.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arial" w:hAnsi="arial"/>
                <w:sz w:val="16"/>
              </w:rPr>
            </w:pPr>
            <w:r>
              <w:rPr>
                <w:rFonts w:ascii="arial" w:hAnsi="arial"/>
                <w:sz w:val="16"/>
              </w:rPr>
              <w:t xml:space="preserve">The exercise price is based on each grant date closing price and fair value is based on the closing price on the applicable vesting date or fiscal year end. </w:t>
            </w:r>
          </w:p>
        </w:tc>
      </w:tr>
    </w:tbl>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Risk free rate is based on the Treasury Constant Maturity rate closest to the remaining expected life as of the applicable vesting date or fiscal year end. </w:t>
            </w:r>
          </w:p>
        </w:tc>
      </w:tr>
    </w:tbl>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arial" w:hAnsi="arial"/>
                <w:sz w:val="16"/>
              </w:rPr>
            </w:pPr>
            <w:r>
              <w:rPr>
                <w:rFonts w:ascii="arial" w:hAnsi="arial"/>
                <w:sz w:val="16"/>
              </w:rPr>
              <w:t xml:space="preserve">Historical volatility is based on the daily price history for each year of remaining expected life prior to each applicable vesting date or fiscal year end; closing prices are provided by S&amp;P Capital IQ and are adjusted for dividends and splits. </w:t>
            </w:r>
          </w:p>
        </w:tc>
      </w:tr>
    </w:tbl>
    <w:tbl>
      <w:tblPr>
        <w:tblW w:w="7195" w:type="dxa"/>
        <w:jc w:val="left"/>
        <w:tblInd w:w="0" w:type="dxa"/>
        <w:tblLayout w:type="fixed"/>
        <w:tblCellMar>
          <w:top w:w="0" w:type="dxa"/>
          <w:left w:w="0" w:type="dxa"/>
          <w:bottom w:w="0" w:type="dxa"/>
          <w:right w:w="0" w:type="dxa"/>
        </w:tblCellMar>
      </w:tblPr>
      <w:tblGrid>
        <w:gridCol w:w="75"/>
        <w:gridCol w:w="185"/>
        <w:gridCol w:w="693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6935" w:type="dxa"/>
            <w:tcBorders/>
            <w:vAlign w:val="center"/>
          </w:tcPr>
          <w:p>
            <w:pPr>
              <w:pStyle w:val="TableContents"/>
              <w:bidi w:val="0"/>
              <w:spacing w:before="0" w:after="0"/>
              <w:jc w:val="left"/>
              <w:rPr>
                <w:rFonts w:ascii="arial" w:hAnsi="arial"/>
                <w:sz w:val="16"/>
              </w:rPr>
            </w:pPr>
            <w:r>
              <w:rPr>
                <w:rFonts w:ascii="arial" w:hAnsi="arial"/>
                <w:sz w:val="16"/>
              </w:rPr>
              <w:t xml:space="preserve">Annual dividend yield on each applicable vesting date or fiscal year end is assumed to be zero.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arial" w:hAnsi="arial"/>
                <w:sz w:val="16"/>
              </w:rPr>
            </w:pPr>
            <w:r>
              <w:rPr>
                <w:rFonts w:ascii="arial" w:hAnsi="arial"/>
                <w:sz w:val="16"/>
              </w:rPr>
              <w:t xml:space="preserve">The following table illustrates the valuation assumptions as of the vesting date for stock options that vested in each of the covered fiscal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8"/>
        <w:gridCol w:w="120"/>
        <w:gridCol w:w="1626"/>
        <w:gridCol w:w="120"/>
        <w:gridCol w:w="1626"/>
        <w:gridCol w:w="120"/>
        <w:gridCol w:w="1626"/>
        <w:gridCol w:w="120"/>
        <w:gridCol w:w="1626"/>
        <w:gridCol w:w="120"/>
        <w:gridCol w:w="1643"/>
      </w:tblGrid>
      <w:tr>
        <w:trPr/>
        <w:tc>
          <w:tcPr>
            <w:tcW w:w="14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458" w:type="dxa"/>
            <w:tcBorders/>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8627" w:type="dxa"/>
            <w:gridSpan w:val="9"/>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For Stock Options Vesting in</w:t>
            </w:r>
          </w:p>
        </w:tc>
      </w:tr>
      <w:tr>
        <w:trPr/>
        <w:tc>
          <w:tcPr>
            <w:tcW w:w="1458" w:type="dxa"/>
            <w:tcBorders>
              <w:bottom w:val="single" w:sz="16" w:space="0" w:color="A41F35"/>
            </w:tcBorders>
            <w:tcMar>
              <w:bottom w:w="28" w:type="dxa"/>
            </w:tcM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26" w:type="dxa"/>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2024</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26" w:type="dxa"/>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2023</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26" w:type="dxa"/>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2022</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26" w:type="dxa"/>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2021</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643" w:type="dxa"/>
            <w:tcBorders>
              <w:bottom w:val="single" w:sz="16" w:space="0" w:color="A41F35"/>
            </w:tcBorders>
            <w:tcMar>
              <w:bottom w:w="40" w:type="dxa"/>
            </w:tcMar>
            <w:vAlign w:val="center"/>
          </w:tcPr>
          <w:p>
            <w:pPr>
              <w:pStyle w:val="TableContents"/>
              <w:bidi w:val="0"/>
              <w:spacing w:before="0" w:after="0"/>
              <w:jc w:val="center"/>
              <w:rPr>
                <w:b/>
                <w:spacing w:val="0"/>
              </w:rPr>
            </w:pPr>
            <w:r>
              <w:rPr>
                <w:b/>
                <w:spacing w:val="0"/>
              </w:rPr>
              <w:t>2020</w:t>
            </w:r>
          </w:p>
        </w:tc>
      </w:tr>
      <w:tr>
        <w:trPr/>
        <w:tc>
          <w:tcPr>
            <w:tcW w:w="1458" w:type="dxa"/>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63"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458" w:type="dxa"/>
            <w:tcBorders/>
            <w:shd w:fill="EFECE8" w:val="clear"/>
            <w:vAlign w:val="center"/>
          </w:tcPr>
          <w:p>
            <w:pPr>
              <w:pStyle w:val="TableContents"/>
              <w:bidi w:val="0"/>
              <w:spacing w:before="0" w:after="0"/>
              <w:jc w:val="left"/>
              <w:rPr>
                <w:rFonts w:ascii="arial" w:hAnsi="arial"/>
                <w:sz w:val="16"/>
              </w:rPr>
            </w:pPr>
            <w:r>
              <w:rPr>
                <w:rFonts w:ascii="arial" w:hAnsi="arial"/>
                <w:sz w:val="16"/>
              </w:rPr>
              <w:t>Expected volatility</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0"/>
              <w:jc w:val="center"/>
              <w:rPr>
                <w:spacing w:val="0"/>
              </w:rPr>
            </w:pPr>
            <w:r>
              <w:rPr>
                <w:spacing w:val="0"/>
              </w:rPr>
              <w:t>72.02% - 77.95%</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0"/>
              <w:jc w:val="center"/>
              <w:rPr>
                <w:spacing w:val="0"/>
              </w:rPr>
            </w:pPr>
            <w:r>
              <w:rPr>
                <w:spacing w:val="0"/>
              </w:rPr>
              <w:t>71.79% - 77.78%</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0"/>
              <w:jc w:val="center"/>
              <w:rPr>
                <w:spacing w:val="0"/>
              </w:rPr>
            </w:pPr>
            <w:r>
              <w:rPr>
                <w:spacing w:val="0"/>
              </w:rPr>
              <w:t>69.15% - 76.30%</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0"/>
              <w:jc w:val="center"/>
              <w:rPr>
                <w:spacing w:val="0"/>
              </w:rPr>
            </w:pPr>
            <w:r>
              <w:rPr>
                <w:spacing w:val="0"/>
              </w:rPr>
              <w:t>64.38% - 72.22%</w:t>
            </w:r>
          </w:p>
        </w:tc>
        <w:tc>
          <w:tcPr>
            <w:tcW w:w="120" w:type="dxa"/>
            <w:tcBorders/>
            <w:shd w:fill="EFECE8" w:val="clear"/>
            <w:vAlign w:val="center"/>
          </w:tcPr>
          <w:p>
            <w:pPr>
              <w:pStyle w:val="TableContents"/>
              <w:bidi w:val="0"/>
              <w:spacing w:before="0" w:after="283"/>
              <w:jc w:val="left"/>
              <w:rPr/>
            </w:pPr>
            <w:r>
              <w:rPr/>
              <w:t>  </w:t>
            </w:r>
          </w:p>
        </w:tc>
        <w:tc>
          <w:tcPr>
            <w:tcW w:w="1643" w:type="dxa"/>
            <w:tcBorders/>
            <w:shd w:fill="EFECE8" w:val="clear"/>
            <w:vAlign w:val="center"/>
          </w:tcPr>
          <w:p>
            <w:pPr>
              <w:pStyle w:val="TableContents"/>
              <w:bidi w:val="0"/>
              <w:spacing w:before="0" w:after="0"/>
              <w:jc w:val="center"/>
              <w:rPr>
                <w:spacing w:val="0"/>
              </w:rPr>
            </w:pPr>
            <w:r>
              <w:rPr>
                <w:spacing w:val="0"/>
              </w:rPr>
              <w:t>56.71% - 71.56%</w:t>
            </w:r>
          </w:p>
        </w:tc>
      </w:tr>
      <w:tr>
        <w:trPr/>
        <w:tc>
          <w:tcPr>
            <w:tcW w:w="1458"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63" w:type="dxa"/>
            <w:gridSpan w:val="2"/>
            <w:tcBorders/>
            <w:vAlign w:val="center"/>
          </w:tcPr>
          <w:p>
            <w:pPr>
              <w:pStyle w:val="TableContents"/>
              <w:bidi w:val="0"/>
              <w:spacing w:before="0" w:after="283"/>
              <w:jc w:val="left"/>
              <w:rPr>
                <w:sz w:val="4"/>
                <w:szCs w:val="4"/>
              </w:rPr>
            </w:pPr>
            <w:r>
              <w:rPr>
                <w:sz w:val="4"/>
                <w:szCs w:val="4"/>
              </w:rPr>
            </w:r>
          </w:p>
        </w:tc>
      </w:tr>
      <w:tr>
        <w:trPr/>
        <w:tc>
          <w:tcPr>
            <w:tcW w:w="1458" w:type="dxa"/>
            <w:tcBorders/>
            <w:vAlign w:val="center"/>
          </w:tcPr>
          <w:p>
            <w:pPr>
              <w:pStyle w:val="TableContents"/>
              <w:bidi w:val="0"/>
              <w:spacing w:before="0" w:after="0"/>
              <w:jc w:val="left"/>
              <w:rPr>
                <w:rFonts w:ascii="arial" w:hAnsi="arial"/>
                <w:sz w:val="16"/>
              </w:rPr>
            </w:pPr>
            <w:r>
              <w:rPr>
                <w:rFonts w:ascii="arial" w:hAnsi="arial"/>
                <w:sz w:val="16"/>
              </w:rPr>
              <w:t>Expected dividend yield</w:t>
            </w:r>
          </w:p>
        </w:tc>
        <w:tc>
          <w:tcPr>
            <w:tcW w:w="120"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center"/>
              <w:rPr/>
            </w:pPr>
            <w:r>
              <w:rPr/>
              <w:t>0.00%</w:t>
            </w:r>
          </w:p>
        </w:tc>
        <w:tc>
          <w:tcPr>
            <w:tcW w:w="120"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center"/>
              <w:rPr/>
            </w:pPr>
            <w:r>
              <w:rPr/>
              <w:t>0.00%</w:t>
            </w:r>
          </w:p>
        </w:tc>
        <w:tc>
          <w:tcPr>
            <w:tcW w:w="120"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center"/>
              <w:rPr/>
            </w:pPr>
            <w:r>
              <w:rPr/>
              <w:t>0.00%</w:t>
            </w:r>
          </w:p>
        </w:tc>
        <w:tc>
          <w:tcPr>
            <w:tcW w:w="120" w:type="dxa"/>
            <w:tcBorders/>
            <w:vAlign w:val="center"/>
          </w:tcPr>
          <w:p>
            <w:pPr>
              <w:pStyle w:val="TableContents"/>
              <w:bidi w:val="0"/>
              <w:spacing w:before="0" w:after="283"/>
              <w:jc w:val="left"/>
              <w:rPr/>
            </w:pPr>
            <w:r>
              <w:rPr/>
              <w:t>  </w:t>
            </w:r>
          </w:p>
        </w:tc>
        <w:tc>
          <w:tcPr>
            <w:tcW w:w="1626" w:type="dxa"/>
            <w:tcBorders/>
            <w:vAlign w:val="center"/>
          </w:tcPr>
          <w:p>
            <w:pPr>
              <w:pStyle w:val="TableContents"/>
              <w:bidi w:val="0"/>
              <w:spacing w:before="0" w:after="283"/>
              <w:jc w:val="center"/>
              <w:rPr/>
            </w:pPr>
            <w:r>
              <w:rPr/>
              <w:t>0.00%</w:t>
            </w:r>
          </w:p>
        </w:tc>
        <w:tc>
          <w:tcPr>
            <w:tcW w:w="120" w:type="dxa"/>
            <w:tcBorders/>
            <w:vAlign w:val="center"/>
          </w:tcPr>
          <w:p>
            <w:pPr>
              <w:pStyle w:val="TableContents"/>
              <w:bidi w:val="0"/>
              <w:spacing w:before="0" w:after="283"/>
              <w:jc w:val="left"/>
              <w:rPr/>
            </w:pPr>
            <w:r>
              <w:rPr/>
              <w:t>  </w:t>
            </w:r>
          </w:p>
        </w:tc>
        <w:tc>
          <w:tcPr>
            <w:tcW w:w="1643" w:type="dxa"/>
            <w:tcBorders/>
            <w:vAlign w:val="center"/>
          </w:tcPr>
          <w:p>
            <w:pPr>
              <w:pStyle w:val="TableContents"/>
              <w:bidi w:val="0"/>
              <w:spacing w:before="0" w:after="283"/>
              <w:jc w:val="center"/>
              <w:rPr/>
            </w:pPr>
            <w:r>
              <w:rPr/>
              <w:t>0.00%</w:t>
            </w:r>
          </w:p>
        </w:tc>
      </w:tr>
      <w:tr>
        <w:trPr/>
        <w:tc>
          <w:tcPr>
            <w:tcW w:w="1458" w:type="dxa"/>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46" w:type="dxa"/>
            <w:gridSpan w:val="2"/>
            <w:tcBorders/>
            <w:shd w:fill="EFECE8" w:val="clear"/>
            <w:vAlign w:val="center"/>
          </w:tcPr>
          <w:p>
            <w:pPr>
              <w:pStyle w:val="TableContents"/>
              <w:bidi w:val="0"/>
              <w:spacing w:before="0" w:after="283"/>
              <w:jc w:val="left"/>
              <w:rPr>
                <w:sz w:val="4"/>
                <w:szCs w:val="4"/>
              </w:rPr>
            </w:pPr>
            <w:r>
              <w:rPr>
                <w:sz w:val="4"/>
                <w:szCs w:val="4"/>
              </w:rPr>
            </w:r>
          </w:p>
        </w:tc>
        <w:tc>
          <w:tcPr>
            <w:tcW w:w="1763"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1458" w:type="dxa"/>
            <w:tcBorders/>
            <w:shd w:fill="EFECE8" w:val="clear"/>
            <w:vAlign w:val="center"/>
          </w:tcPr>
          <w:p>
            <w:pPr>
              <w:pStyle w:val="TableContents"/>
              <w:bidi w:val="0"/>
              <w:spacing w:before="0" w:after="0"/>
              <w:jc w:val="left"/>
              <w:rPr>
                <w:rFonts w:ascii="arial" w:hAnsi="arial"/>
                <w:sz w:val="16"/>
              </w:rPr>
            </w:pPr>
            <w:r>
              <w:rPr>
                <w:rFonts w:ascii="arial" w:hAnsi="arial"/>
                <w:sz w:val="16"/>
              </w:rPr>
              <w:t>Expected term, in years</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283"/>
              <w:jc w:val="center"/>
              <w:rPr/>
            </w:pPr>
            <w:r>
              <w:rPr/>
              <w:t>3.0 - 5.0</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283"/>
              <w:jc w:val="center"/>
              <w:rPr/>
            </w:pPr>
            <w:r>
              <w:rPr/>
              <w:t>3.0 - 5.0</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283"/>
              <w:jc w:val="center"/>
              <w:rPr/>
            </w:pPr>
            <w:r>
              <w:rPr/>
              <w:t>3.2 - 5.0</w:t>
            </w:r>
          </w:p>
        </w:tc>
        <w:tc>
          <w:tcPr>
            <w:tcW w:w="120" w:type="dxa"/>
            <w:tcBorders/>
            <w:shd w:fill="EFECE8" w:val="clear"/>
            <w:vAlign w:val="center"/>
          </w:tcPr>
          <w:p>
            <w:pPr>
              <w:pStyle w:val="TableContents"/>
              <w:bidi w:val="0"/>
              <w:spacing w:before="0" w:after="283"/>
              <w:jc w:val="left"/>
              <w:rPr/>
            </w:pPr>
            <w:r>
              <w:rPr/>
              <w:t>  </w:t>
            </w:r>
          </w:p>
        </w:tc>
        <w:tc>
          <w:tcPr>
            <w:tcW w:w="1626" w:type="dxa"/>
            <w:tcBorders/>
            <w:shd w:fill="EFECE8" w:val="clear"/>
            <w:vAlign w:val="center"/>
          </w:tcPr>
          <w:p>
            <w:pPr>
              <w:pStyle w:val="TableContents"/>
              <w:bidi w:val="0"/>
              <w:spacing w:before="0" w:after="283"/>
              <w:jc w:val="center"/>
              <w:rPr/>
            </w:pPr>
            <w:r>
              <w:rPr/>
              <w:t>3.0 - 5.0</w:t>
            </w:r>
          </w:p>
        </w:tc>
        <w:tc>
          <w:tcPr>
            <w:tcW w:w="120" w:type="dxa"/>
            <w:tcBorders/>
            <w:shd w:fill="EFECE8" w:val="clear"/>
            <w:vAlign w:val="center"/>
          </w:tcPr>
          <w:p>
            <w:pPr>
              <w:pStyle w:val="TableContents"/>
              <w:bidi w:val="0"/>
              <w:spacing w:before="0" w:after="283"/>
              <w:jc w:val="left"/>
              <w:rPr/>
            </w:pPr>
            <w:r>
              <w:rPr/>
              <w:t>  </w:t>
            </w:r>
          </w:p>
        </w:tc>
        <w:tc>
          <w:tcPr>
            <w:tcW w:w="1643" w:type="dxa"/>
            <w:tcBorders/>
            <w:shd w:fill="EFECE8" w:val="clear"/>
            <w:vAlign w:val="center"/>
          </w:tcPr>
          <w:p>
            <w:pPr>
              <w:pStyle w:val="TableContents"/>
              <w:bidi w:val="0"/>
              <w:spacing w:before="0" w:after="283"/>
              <w:jc w:val="center"/>
              <w:rPr/>
            </w:pPr>
            <w:r>
              <w:rPr/>
              <w:t>3.2 - 5.0</w:t>
            </w:r>
          </w:p>
        </w:tc>
      </w:tr>
      <w:tr>
        <w:trPr/>
        <w:tc>
          <w:tcPr>
            <w:tcW w:w="1458" w:type="dxa"/>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46" w:type="dxa"/>
            <w:gridSpan w:val="2"/>
            <w:tcBorders/>
            <w:vAlign w:val="center"/>
          </w:tcPr>
          <w:p>
            <w:pPr>
              <w:pStyle w:val="TableContents"/>
              <w:bidi w:val="0"/>
              <w:spacing w:before="0" w:after="283"/>
              <w:jc w:val="left"/>
              <w:rPr>
                <w:sz w:val="4"/>
                <w:szCs w:val="4"/>
              </w:rPr>
            </w:pPr>
            <w:r>
              <w:rPr>
                <w:sz w:val="4"/>
                <w:szCs w:val="4"/>
              </w:rPr>
            </w:r>
          </w:p>
        </w:tc>
        <w:tc>
          <w:tcPr>
            <w:tcW w:w="1763" w:type="dxa"/>
            <w:gridSpan w:val="2"/>
            <w:tcBorders/>
            <w:vAlign w:val="center"/>
          </w:tcPr>
          <w:p>
            <w:pPr>
              <w:pStyle w:val="TableContents"/>
              <w:bidi w:val="0"/>
              <w:spacing w:before="0" w:after="283"/>
              <w:jc w:val="left"/>
              <w:rPr>
                <w:sz w:val="4"/>
                <w:szCs w:val="4"/>
              </w:rPr>
            </w:pPr>
            <w:r>
              <w:rPr>
                <w:sz w:val="4"/>
                <w:szCs w:val="4"/>
              </w:rPr>
            </w:r>
          </w:p>
        </w:tc>
      </w:tr>
      <w:tr>
        <w:trPr/>
        <w:tc>
          <w:tcPr>
            <w:tcW w:w="1458" w:type="dxa"/>
            <w:tcBorders>
              <w:bottom w:val="single" w:sz="8" w:space="0" w:color="A41F35"/>
            </w:tcBorders>
            <w:tcMar>
              <w:bottom w:w="40" w:type="dxa"/>
            </w:tcMar>
            <w:vAlign w:val="center"/>
          </w:tcPr>
          <w:p>
            <w:pPr>
              <w:pStyle w:val="TableContents"/>
              <w:bidi w:val="0"/>
              <w:spacing w:before="0" w:after="0"/>
              <w:jc w:val="left"/>
              <w:rPr>
                <w:rFonts w:ascii="arial" w:hAnsi="arial"/>
                <w:sz w:val="16"/>
              </w:rPr>
            </w:pPr>
            <w:r>
              <w:rPr>
                <w:rFonts w:ascii="arial" w:hAnsi="arial"/>
                <w:sz w:val="16"/>
              </w:rPr>
              <w:t>Risk-free interest rate</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26" w:type="dxa"/>
            <w:tcBorders>
              <w:bottom w:val="single" w:sz="8" w:space="0" w:color="A41F35"/>
            </w:tcBorders>
            <w:tcMar>
              <w:bottom w:w="40" w:type="dxa"/>
            </w:tcMar>
            <w:vAlign w:val="center"/>
          </w:tcPr>
          <w:p>
            <w:pPr>
              <w:pStyle w:val="TableContents"/>
              <w:bidi w:val="0"/>
              <w:spacing w:before="0" w:after="283"/>
              <w:jc w:val="center"/>
              <w:rPr/>
            </w:pPr>
            <w:r>
              <w:rPr/>
              <w:t>3.44% - 4.81%</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26" w:type="dxa"/>
            <w:tcBorders>
              <w:bottom w:val="single" w:sz="8" w:space="0" w:color="A41F35"/>
            </w:tcBorders>
            <w:tcMar>
              <w:bottom w:w="40" w:type="dxa"/>
            </w:tcMar>
            <w:vAlign w:val="center"/>
          </w:tcPr>
          <w:p>
            <w:pPr>
              <w:pStyle w:val="TableContents"/>
              <w:bidi w:val="0"/>
              <w:spacing w:before="0" w:after="283"/>
              <w:jc w:val="center"/>
              <w:rPr/>
            </w:pPr>
            <w:r>
              <w:rPr/>
              <w:t>3.54% - 4.91%</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26" w:type="dxa"/>
            <w:tcBorders>
              <w:bottom w:val="single" w:sz="8" w:space="0" w:color="A41F35"/>
            </w:tcBorders>
            <w:tcMar>
              <w:bottom w:w="40" w:type="dxa"/>
            </w:tcMar>
            <w:vAlign w:val="center"/>
          </w:tcPr>
          <w:p>
            <w:pPr>
              <w:pStyle w:val="TableContents"/>
              <w:bidi w:val="0"/>
              <w:spacing w:before="0" w:after="283"/>
              <w:jc w:val="center"/>
              <w:rPr/>
            </w:pPr>
            <w:r>
              <w:rPr/>
              <w:t>0.97% - 4.48%</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26" w:type="dxa"/>
            <w:tcBorders>
              <w:bottom w:val="single" w:sz="8" w:space="0" w:color="A41F35"/>
            </w:tcBorders>
            <w:tcMar>
              <w:bottom w:w="40" w:type="dxa"/>
            </w:tcMar>
            <w:vAlign w:val="center"/>
          </w:tcPr>
          <w:p>
            <w:pPr>
              <w:pStyle w:val="TableContents"/>
              <w:bidi w:val="0"/>
              <w:spacing w:before="0" w:after="283"/>
              <w:jc w:val="center"/>
              <w:rPr/>
            </w:pPr>
            <w:r>
              <w:rPr/>
              <w:t>0.19% - 1.34%</w:t>
            </w:r>
          </w:p>
        </w:tc>
        <w:tc>
          <w:tcPr>
            <w:tcW w:w="120" w:type="dxa"/>
            <w:tcBorders>
              <w:bottom w:val="single" w:sz="8" w:space="0" w:color="A41F35"/>
            </w:tcBorders>
            <w:tcMar>
              <w:bottom w:w="28" w:type="dxa"/>
            </w:tcMar>
            <w:vAlign w:val="center"/>
          </w:tcPr>
          <w:p>
            <w:pPr>
              <w:pStyle w:val="TableContents"/>
              <w:bidi w:val="0"/>
              <w:spacing w:before="0" w:after="283"/>
              <w:jc w:val="left"/>
              <w:rPr/>
            </w:pPr>
            <w:r>
              <w:rPr/>
              <w:t>  </w:t>
            </w:r>
          </w:p>
        </w:tc>
        <w:tc>
          <w:tcPr>
            <w:tcW w:w="1643" w:type="dxa"/>
            <w:tcBorders>
              <w:bottom w:val="single" w:sz="8" w:space="0" w:color="A41F35"/>
            </w:tcBorders>
            <w:tcMar>
              <w:bottom w:w="40" w:type="dxa"/>
            </w:tcMar>
            <w:vAlign w:val="center"/>
          </w:tcPr>
          <w:p>
            <w:pPr>
              <w:pStyle w:val="TableContents"/>
              <w:bidi w:val="0"/>
              <w:spacing w:before="0" w:after="283"/>
              <w:jc w:val="center"/>
              <w:rPr/>
            </w:pPr>
            <w:r>
              <w:rPr/>
              <w:t>0.15% - 1.69%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cumulative total return on $100 invested in the Company’s common stock as of December 31, 2019 through the last trading day for the applicable fiscal year in the table. The Company has not paid any dividends since its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weighted cumulative total return on $100 invested as of December 31, 2019 through the last trading day for the applicable fiscal year in the table, weighted according to the respective companies’ stock market capitalization at the beginning of each period for which a return is indicated. The peer group total shareholder return set forth in this table utilizes the Nasdaq Healthcare Index (IXHC), which we also utilize in the stock performance graph required by Item 201(e) of Regulation </w:t>
            </w:r>
          </w:p>
          <w:p>
            <w:pPr>
              <w:pStyle w:val="TableContents"/>
              <w:bidi w:val="0"/>
              <w:spacing w:before="0" w:after="0"/>
              <w:jc w:val="left"/>
              <w:rPr>
                <w:rFonts w:ascii="arial" w:hAnsi="arial"/>
                <w:spacing w:val="0"/>
                <w:sz w:val="16"/>
              </w:rPr>
            </w:pPr>
            <w:r>
              <w:rPr>
                <w:rFonts w:ascii="arial" w:hAnsi="arial"/>
                <w:spacing w:val="0"/>
                <w:sz w:val="16"/>
              </w:rPr>
              <w:t>S-K</w:t>
            </w:r>
          </w:p>
          <w:p>
            <w:pPr>
              <w:pStyle w:val="TableContents"/>
              <w:bidi w:val="0"/>
              <w:spacing w:before="0" w:after="0"/>
              <w:jc w:val="left"/>
              <w:rPr>
                <w:rFonts w:ascii="arial" w:hAnsi="arial"/>
                <w:sz w:val="16"/>
              </w:rPr>
            </w:pPr>
            <w:r>
              <w:rPr>
                <w:rFonts w:ascii="arial" w:hAnsi="arial"/>
                <w:sz w:val="16"/>
              </w:rPr>
              <w:t xml:space="preserve">included in our Annual Report on Form </w:t>
            </w:r>
          </w:p>
          <w:p>
            <w:pPr>
              <w:pStyle w:val="TableContents"/>
              <w:bidi w:val="0"/>
              <w:spacing w:before="0" w:after="0"/>
              <w:jc w:val="left"/>
              <w:rPr>
                <w:rFonts w:ascii="arial" w:hAnsi="arial"/>
                <w:spacing w:val="0"/>
                <w:sz w:val="16"/>
              </w:rPr>
            </w:pPr>
            <w:r>
              <w:rPr>
                <w:rFonts w:ascii="arial" w:hAnsi="arial"/>
                <w:spacing w:val="0"/>
                <w:sz w:val="16"/>
              </w:rPr>
              <w:t>10-K</w:t>
            </w:r>
          </w:p>
          <w:p>
            <w:pPr>
              <w:pStyle w:val="TableContents"/>
              <w:bidi w:val="0"/>
              <w:spacing w:before="0" w:after="0"/>
              <w:jc w:val="left"/>
              <w:rPr>
                <w:rFonts w:ascii="arial" w:hAnsi="arial"/>
                <w:sz w:val="16"/>
              </w:rPr>
            </w:pPr>
            <w:r>
              <w:rPr>
                <w:rFonts w:ascii="arial" w:hAnsi="arial"/>
                <w:sz w:val="16"/>
              </w:rPr>
              <w:t xml:space="preserve">for the year ended December 31, 2024. The return of this index is calculated assuming reinvestment of dividends during the period presented.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(8)</w:t>
            </w:r>
          </w:p>
        </w:tc>
        <w:tc>
          <w:tcPr>
            <w:tcW w:w="9912"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the amount of net income (loss) reflected in the Company’s audited financial statements for the applicable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(9)</w:t>
            </w:r>
          </w:p>
        </w:tc>
        <w:tc>
          <w:tcPr>
            <w:tcW w:w="9951" w:type="dxa"/>
            <w:tcBorders/>
            <w:vAlign w:val="center"/>
          </w:tcPr>
          <w:p>
            <w:pPr>
              <w:pStyle w:val="TableContents"/>
              <w:bidi w:val="0"/>
              <w:spacing w:before="0" w:after="0"/>
              <w:jc w:val="left"/>
              <w:rPr>
                <w:rFonts w:ascii="arial" w:hAnsi="arial"/>
                <w:sz w:val="16"/>
              </w:rPr>
            </w:pPr>
            <w:r>
              <w:rPr>
                <w:rFonts w:ascii="arial" w:hAnsi="arial"/>
                <w:sz w:val="16"/>
              </w:rPr>
              <w:t xml:space="preserve">The amounts reported in this column represent revenue, our Company-Selected Measure, which we believe is the most important financial measure used to link compensation actually paid to our named executive officers to Company performance for 2024. The amounts represent the amount of revenue reflected in the Company’s audited financial statements for the applicable year. </w:t>
            </w:r>
          </w:p>
        </w:tc>
      </w:tr>
    </w:tbl>
    <w:p>
      <w:pPr>
        <w:pStyle w:val="TextBody"/>
        <w:bidi w:val="0"/>
        <w:spacing w:before="360" w:after="0"/>
        <w:jc w:val="left"/>
        <w:rPr>
          <w:rFonts w:ascii="arial" w:hAnsi="arial"/>
          <w:b/>
          <w:sz w:val="20"/>
        </w:rPr>
      </w:pPr>
      <w:r>
        <w:rPr>
          <w:rFonts w:ascii="arial" w:hAnsi="arial"/>
          <w:b/>
          <w:sz w:val="20"/>
        </w:rPr>
        <w:t xml:space="preserve">Tabular List of Financial Performance Measures </w:t>
      </w:r>
    </w:p>
    <w:p>
      <w:pPr>
        <w:pStyle w:val="TextBody"/>
        <w:bidi w:val="0"/>
        <w:spacing w:before="120" w:after="0"/>
        <w:jc w:val="left"/>
        <w:rPr>
          <w:rFonts w:ascii="arial" w:hAnsi="arial"/>
          <w:sz w:val="18"/>
        </w:rPr>
      </w:pPr>
      <w:r>
        <w:rPr>
          <w:rFonts w:ascii="arial" w:hAnsi="arial"/>
          <w:sz w:val="18"/>
        </w:rPr>
        <w:t xml:space="preserve">As described in greater detail in the CD&amp;A, we have a significant focus on </w:t>
      </w:r>
    </w:p>
    <w:p>
      <w:pPr>
        <w:pStyle w:val="TextBody"/>
        <w:bidi w:val="0"/>
        <w:spacing w:before="120" w:after="0"/>
        <w:jc w:val="left"/>
        <w:rPr>
          <w:rFonts w:ascii="arial" w:hAnsi="arial"/>
          <w:spacing w:val="0"/>
          <w:sz w:val="18"/>
        </w:rPr>
      </w:pPr>
      <w:r>
        <w:rPr>
          <w:rFonts w:ascii="arial" w:hAnsi="arial"/>
          <w:spacing w:val="0"/>
          <w:sz w:val="18"/>
        </w:rPr>
        <w:t>pay-for-performance.</w:t>
      </w:r>
    </w:p>
    <w:p>
      <w:pPr>
        <w:pStyle w:val="TextBody"/>
        <w:bidi w:val="0"/>
        <w:spacing w:before="120" w:after="0"/>
        <w:jc w:val="left"/>
        <w:rPr>
          <w:rFonts w:ascii="arial" w:hAnsi="arial"/>
          <w:sz w:val="18"/>
        </w:rPr>
      </w:pPr>
      <w:r>
        <w:rPr>
          <w:rFonts w:ascii="arial" w:hAnsi="arial"/>
          <w:sz w:val="18"/>
        </w:rPr>
        <w:t xml:space="preserve">The most important financial and </w:t>
      </w:r>
    </w:p>
    <w:p>
      <w:pPr>
        <w:pStyle w:val="TextBody"/>
        <w:bidi w:val="0"/>
        <w:spacing w:before="120" w:after="0"/>
        <w:jc w:val="left"/>
        <w:rPr>
          <w:rFonts w:ascii="arial" w:hAnsi="arial"/>
          <w:spacing w:val="0"/>
          <w:sz w:val="18"/>
        </w:rPr>
      </w:pPr>
      <w:r>
        <w:rPr>
          <w:rFonts w:ascii="arial" w:hAnsi="arial"/>
          <w:spacing w:val="0"/>
          <w:sz w:val="18"/>
        </w:rPr>
        <w:t>non-financial</w:t>
      </w:r>
    </w:p>
    <w:p>
      <w:pPr>
        <w:pStyle w:val="TextBody"/>
        <w:bidi w:val="0"/>
        <w:spacing w:before="120" w:after="0"/>
        <w:jc w:val="left"/>
        <w:rPr>
          <w:rFonts w:ascii="arial" w:hAnsi="arial"/>
          <w:sz w:val="18"/>
        </w:rPr>
      </w:pPr>
      <w:r>
        <w:rPr>
          <w:rFonts w:ascii="arial" w:hAnsi="arial"/>
          <w:sz w:val="18"/>
        </w:rPr>
        <w:t xml:space="preserve">performance measures used to link CAP (as calculated in accordance with the SEC rules) to our NEOs in 2024 to our performance were: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125"/>
        <w:gridCol w:w="60"/>
        <w:gridCol w:w="2195"/>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0"/>
              <w:jc w:val="left"/>
              <w:rPr>
                <w:rFonts w:ascii="arial" w:hAnsi="arial"/>
                <w:sz w:val="18"/>
              </w:rPr>
            </w:pPr>
            <w:r>
              <w:rPr>
                <w:rFonts w:ascii="arial" w:hAnsi="arial"/>
                <w:sz w:val="18"/>
              </w:rPr>
              <w:t xml:space="preserve">Revenue target of $370M;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125"/>
        <w:gridCol w:w="60"/>
        <w:gridCol w:w="668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arial" w:hAnsi="arial"/>
                <w:sz w:val="18"/>
              </w:rPr>
            </w:pPr>
            <w:r>
              <w:rPr>
                <w:rFonts w:ascii="arial" w:hAnsi="arial"/>
                <w:sz w:val="18"/>
              </w:rPr>
              <w:t xml:space="preserve">Scaling TransMedics Aviation to a minimum of 16 planes by September 30, 2024;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125"/>
        <w:gridCol w:w="60"/>
        <w:gridCol w:w="5525"/>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arial" w:hAnsi="arial"/>
                <w:sz w:val="18"/>
              </w:rPr>
            </w:pPr>
            <w:r>
              <w:rPr>
                <w:rFonts w:ascii="arial" w:hAnsi="arial"/>
                <w:sz w:val="18"/>
              </w:rPr>
              <w:t xml:space="preserve">Initiation of a US Lung clinical program/trial by December 31, 2024;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125"/>
        <w:gridCol w:w="60"/>
        <w:gridCol w:w="647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0"/>
              <w:jc w:val="left"/>
              <w:rPr>
                <w:rFonts w:ascii="arial" w:hAnsi="arial"/>
                <w:sz w:val="18"/>
              </w:rPr>
            </w:pPr>
            <w:r>
              <w:rPr>
                <w:rFonts w:ascii="arial" w:hAnsi="arial"/>
                <w:sz w:val="18"/>
              </w:rPr>
              <w:t xml:space="preserve">Completion of ERP upgrade and HRIS implementation by December 31, 2024;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125"/>
        <w:gridCol w:w="60"/>
        <w:gridCol w:w="821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arial" w:hAnsi="arial"/>
                <w:sz w:val="18"/>
              </w:rPr>
            </w:pPr>
            <w:r>
              <w:rPr>
                <w:rFonts w:ascii="arial" w:hAnsi="arial"/>
                <w:sz w:val="18"/>
              </w:rPr>
              <w:t xml:space="preserve">PMA submission of 2 new assembly improvements for current OCS modules by December 31, 2024;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125"/>
        <w:gridCol w:w="60"/>
        <w:gridCol w:w="524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arial" w:hAnsi="arial"/>
                <w:sz w:val="18"/>
              </w:rPr>
            </w:pPr>
            <w:r>
              <w:rPr>
                <w:rFonts w:ascii="arial" w:hAnsi="arial"/>
                <w:sz w:val="18"/>
              </w:rPr>
              <w:t xml:space="preserve">Sustained EBITDA positive for a minimum of 2 quarters in 2024;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125"/>
        <w:gridCol w:w="60"/>
        <w:gridCol w:w="830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0"/>
              <w:jc w:val="left"/>
              <w:rPr>
                <w:rFonts w:ascii="arial" w:hAnsi="arial"/>
                <w:sz w:val="18"/>
              </w:rPr>
            </w:pPr>
            <w:r>
              <w:rPr>
                <w:rFonts w:ascii="arial" w:hAnsi="arial"/>
                <w:sz w:val="18"/>
              </w:rPr>
              <w:t xml:space="preserve">FDA submission of new OCS boards with integrated lactate and ABG sensors by December 31, 2024;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125"/>
        <w:gridCol w:w="60"/>
        <w:gridCol w:w="7985"/>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arial" w:hAnsi="arial"/>
                <w:sz w:val="18"/>
              </w:rPr>
            </w:pPr>
            <w:r>
              <w:rPr>
                <w:rFonts w:ascii="arial" w:hAnsi="arial"/>
                <w:sz w:val="18"/>
              </w:rPr>
              <w:t xml:space="preserve">Complete development of OCS Connect II &amp; OCS Cloud Connectivity by December 31, 2024; and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125"/>
        <w:gridCol w:w="60"/>
        <w:gridCol w:w="7325"/>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sz w:val="18"/>
              </w:rPr>
            </w:pPr>
            <w:r>
              <w:rPr>
                <w:rFonts w:ascii="arial" w:hAnsi="arial"/>
                <w:sz w:val="18"/>
              </w:rPr>
              <w:t xml:space="preserve">Supply chain to control management of all inventory at NOP hubs by December 31, 2024.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275"/>
        <w:gridCol w:w="60"/>
        <w:gridCol w:w="260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spacing w:val="0"/>
              </w:rPr>
            </w:pPr>
            <w:r>
              <w:rPr>
                <w:b/>
                <w:spacing w:val="0"/>
              </w:rPr>
              <w:t>46</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b/>
                <w:color w:val="A41F35"/>
                <w:spacing w:val="0"/>
              </w:rPr>
            </w:pPr>
            <w:r>
              <w:rPr>
                <w:b/>
                <w:color w:val="A41F35"/>
                <w:spacing w:val="0"/>
              </w:rPr>
              <w:t>TransMedics Group, Inc.</w:t>
            </w:r>
          </w:p>
          <w:p>
            <w:pPr>
              <w:pStyle w:val="TableContents"/>
              <w:bidi w:val="0"/>
              <w:spacing w:before="0" w:after="0"/>
              <w:jc w:val="left"/>
              <w:rPr/>
            </w:pPr>
            <w:r>
              <w:rPr/>
              <w:t>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righ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Narrative Disclosure: Pay Versus Performance Table </w:t>
      </w:r>
    </w:p>
    <w:p>
      <w:pPr>
        <w:pStyle w:val="TextBody"/>
        <w:bidi w:val="0"/>
        <w:spacing w:before="120" w:after="0"/>
        <w:jc w:val="left"/>
        <w:rPr>
          <w:rFonts w:ascii="arial" w:hAnsi="arial"/>
          <w:sz w:val="18"/>
        </w:rPr>
      </w:pPr>
      <w:r>
        <w:rPr>
          <w:rFonts w:ascii="arial" w:hAnsi="arial"/>
          <w:sz w:val="18"/>
        </w:rPr>
        <w:t xml:space="preserve">The graphs below provide a description of CAP (as calculated in accordance with the SEC rules) to our NEOs and the following measures: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125"/>
        <w:gridCol w:w="60"/>
        <w:gridCol w:w="761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sz w:val="18"/>
              </w:rPr>
            </w:pPr>
            <w:r>
              <w:rPr>
                <w:rFonts w:ascii="arial" w:hAnsi="arial"/>
                <w:sz w:val="18"/>
              </w:rPr>
              <w:t xml:space="preserve">TransMedics’ cumulative TSR and Peer Group (NASDAQ Healthcare Index) cumulative TSR;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125"/>
        <w:gridCol w:w="60"/>
        <w:gridCol w:w="3110"/>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arial" w:hAnsi="arial"/>
                <w:sz w:val="18"/>
              </w:rPr>
            </w:pPr>
            <w:r>
              <w:rPr>
                <w:rFonts w:ascii="arial" w:hAnsi="arial"/>
                <w:sz w:val="18"/>
              </w:rPr>
              <w:t xml:space="preserve">TransMedics’ Net Income (Loss);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125"/>
        <w:gridCol w:w="60"/>
        <w:gridCol w:w="5645"/>
      </w:tblGrid>
      <w:tr>
        <w:trPr/>
        <w:tc>
          <w:tcPr>
            <w:tcW w:w="125" w:type="dxa"/>
            <w:tcBorders/>
            <w:vAlign w:val="center"/>
          </w:tcPr>
          <w:p>
            <w:pPr>
              <w:pStyle w:val="TableContents"/>
              <w:bidi w:val="0"/>
              <w:spacing w:before="0" w:after="0"/>
              <w:jc w:val="left"/>
              <w:rPr>
                <w:color w:val="A41F35"/>
                <w:spacing w:val="0"/>
              </w:rPr>
            </w:pPr>
            <w:r>
              <w:rPr>
                <w:color w:val="A41F35"/>
                <w:spacing w:val="0"/>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arial" w:hAnsi="arial"/>
                <w:sz w:val="18"/>
              </w:rPr>
            </w:pPr>
            <w:r>
              <w:rPr>
                <w:rFonts w:ascii="arial" w:hAnsi="arial"/>
                <w:sz w:val="18"/>
              </w:rPr>
              <w:t xml:space="preserve">the Company Selected Measure, which for TransMedics is Revenue.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0957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3"/>
                    <a:stretch>
                      <a:fillRect/>
                    </a:stretch>
                  </pic:blipFill>
                  <pic:spPr bwMode="auto">
                    <a:xfrm>
                      <a:off x="0" y="0"/>
                      <a:ext cx="7810500" cy="4095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0005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4"/>
                    <a:stretch>
                      <a:fillRect/>
                    </a:stretch>
                  </pic:blipFill>
                  <pic:spPr bwMode="auto">
                    <a:xfrm>
                      <a:off x="0" y="0"/>
                      <a:ext cx="7810500" cy="4000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38"/>
        <w:gridCol w:w="60"/>
        <w:gridCol w:w="260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right"/>
              <w:rPr/>
            </w:pPr>
            <w:r>
              <w:rPr/>
              <w:t>  </w:t>
            </w:r>
          </w:p>
          <w:p>
            <w:pPr>
              <w:pStyle w:val="TableContents"/>
              <w:bidi w:val="0"/>
              <w:spacing w:before="0" w:after="0"/>
              <w:jc w:val="right"/>
              <w:rPr>
                <w:b/>
                <w:color w:val="A41F35"/>
                <w:spacing w:val="0"/>
              </w:rPr>
            </w:pPr>
            <w:r>
              <w:rPr>
                <w:b/>
                <w:color w:val="A41F35"/>
                <w:spacing w:val="0"/>
              </w:rPr>
              <w:t>TransMedics Group, Inc.</w:t>
            </w:r>
          </w:p>
          <w:p>
            <w:pPr>
              <w:pStyle w:val="TableContents"/>
              <w:bidi w:val="0"/>
              <w:spacing w:before="0" w:after="0"/>
              <w:jc w:val="right"/>
              <w:rPr/>
            </w:pPr>
            <w:r>
              <w:rPr/>
              <w:t>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right"/>
              <w:rPr>
                <w:b/>
                <w:spacing w:val="0"/>
              </w:rPr>
            </w:pPr>
            <w:r>
              <w:rPr>
                <w:b/>
                <w:spacing w:val="0"/>
              </w:rPr>
              <w:t>47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Executive Compensation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0481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5"/>
                    <a:stretch>
                      <a:fillRect/>
                    </a:stretch>
                  </pic:blipFill>
                  <pic:spPr bwMode="auto">
                    <a:xfrm>
                      <a:off x="0" y="0"/>
                      <a:ext cx="7810500" cy="4048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3033" w:type="dxa"/>
        <w:jc w:val="left"/>
        <w:tblInd w:w="0" w:type="dxa"/>
        <w:tblLayout w:type="fixed"/>
        <w:tblCellMar>
          <w:top w:w="0" w:type="dxa"/>
          <w:left w:w="0" w:type="dxa"/>
          <w:bottom w:w="0" w:type="dxa"/>
          <w:right w:w="0" w:type="dxa"/>
        </w:tblCellMar>
      </w:tblPr>
      <w:tblGrid>
        <w:gridCol w:w="275"/>
        <w:gridCol w:w="60"/>
        <w:gridCol w:w="260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jc w:val="left"/>
              <w:rPr>
                <w:b/>
                <w:spacing w:val="0"/>
              </w:rPr>
            </w:pPr>
            <w:r>
              <w:rPr>
                <w:b/>
                <w:spacing w:val="0"/>
              </w:rPr>
              <w:t>48</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left"/>
              <w:rPr/>
            </w:pPr>
            <w:r>
              <w:rPr/>
              <w:t>  </w:t>
            </w:r>
          </w:p>
          <w:p>
            <w:pPr>
              <w:pStyle w:val="TableContents"/>
              <w:bidi w:val="0"/>
              <w:spacing w:before="0" w:after="0"/>
              <w:jc w:val="left"/>
              <w:rPr>
                <w:b/>
                <w:color w:val="A41F35"/>
                <w:spacing w:val="0"/>
              </w:rPr>
            </w:pPr>
            <w:r>
              <w:rPr>
                <w:b/>
                <w:color w:val="A41F35"/>
                <w:spacing w:val="0"/>
              </w:rPr>
              <w:t>TransMedics Group, Inc.</w:t>
            </w:r>
          </w:p>
          <w:p>
            <w:pPr>
              <w:pStyle w:val="TableContents"/>
              <w:bidi w:val="0"/>
              <w:spacing w:before="0" w:after="0"/>
              <w:jc w:val="left"/>
              <w:rPr/>
            </w:pPr>
            <w:r>
              <w:rPr/>
              <w:t>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5" w:name="toc803709_22"/>
      <w:bookmarkEnd w:id="25"/>
      <w:r>
        <w:rPr>
          <w:rFonts w:ascii="arial" w:hAnsi="arial"/>
          <w:b/>
          <w:color w:val="A41F35"/>
          <w:sz w:val="56"/>
        </w:rPr>
        <w:t xml:space="preserve">Equity Compensation Plan Information </w:t>
      </w:r>
    </w:p>
    <w:p>
      <w:pPr>
        <w:pStyle w:val="TextBody"/>
        <w:bidi w:val="0"/>
        <w:spacing w:before="480" w:after="0"/>
        <w:jc w:val="left"/>
        <w:rPr>
          <w:rFonts w:ascii="arial" w:hAnsi="arial"/>
          <w:sz w:val="18"/>
        </w:rPr>
      </w:pPr>
      <w:r>
        <w:rPr>
          <w:rFonts w:ascii="arial" w:hAnsi="arial"/>
          <w:sz w:val="18"/>
        </w:rPr>
        <w:t xml:space="preserve">The following table provides certain information as of December 31, 2024 with respect to our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6"/>
        <w:gridCol w:w="60"/>
        <w:gridCol w:w="173"/>
        <w:gridCol w:w="173"/>
        <w:gridCol w:w="2835"/>
        <w:gridCol w:w="68"/>
        <w:gridCol w:w="60"/>
        <w:gridCol w:w="156"/>
        <w:gridCol w:w="156"/>
        <w:gridCol w:w="1464"/>
        <w:gridCol w:w="62"/>
        <w:gridCol w:w="60"/>
        <w:gridCol w:w="182"/>
        <w:gridCol w:w="182"/>
        <w:gridCol w:w="2979"/>
        <w:gridCol w:w="119"/>
      </w:tblGrid>
      <w:tr>
        <w:trPr/>
        <w:tc>
          <w:tcPr>
            <w:tcW w:w="1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Plan Category</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3249"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 Securities to be</w:t>
              <w:br/>
              <w:t>Issued Upon Exercise of</w:t>
              <w:br/>
              <w:t>Outstanding Options,</w:t>
              <w:br/>
              <w:t>Warrants and rights (Column a)</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838"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Weighted-</w:t>
              <w:br/>
              <w:t>average Exercise</w:t>
              <w:br/>
              <w:t>Price of</w:t>
              <w:br/>
              <w:t>Outstanding</w:t>
              <w:br/>
              <w:t>Options,</w:t>
              <w:br/>
              <w:t>Warrants and</w:t>
              <w:br/>
              <w:t>Rights (Column b)</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3462" w:type="dxa"/>
            <w:gridSpan w:val="4"/>
            <w:tcBorders>
              <w:bottom w:val="single" w:sz="16" w:space="0" w:color="A41F35"/>
            </w:tcBorders>
            <w:tcMar>
              <w:bottom w:w="40" w:type="dxa"/>
            </w:tcMar>
            <w:vAlign w:val="center"/>
          </w:tcPr>
          <w:p>
            <w:pPr>
              <w:pStyle w:val="TableContents"/>
              <w:bidi w:val="0"/>
              <w:spacing w:before="0" w:after="283"/>
              <w:jc w:val="center"/>
              <w:rPr>
                <w:b/>
              </w:rPr>
            </w:pPr>
            <w:r>
              <w:rPr>
                <w:b/>
              </w:rPr>
              <w:t>Number of Securities</w:t>
              <w:br/>
              <w:t>Remaining Available for</w:t>
              <w:br/>
              <w:t>  Future Issuance Under Equity  </w:t>
              <w:br/>
              <w:t>Compensation Plans</w:t>
              <w:br/>
              <w:t>(Excluding Securities</w:t>
              <w:br/>
              <w:t>Reflected in Column (a))</w:t>
              <w:br/>
              <w:t>(Column c)</w:t>
            </w:r>
          </w:p>
        </w:tc>
      </w:tr>
      <w:tr>
        <w:trPr/>
        <w:tc>
          <w:tcPr>
            <w:tcW w:w="1476" w:type="dxa"/>
            <w:tcBorders/>
            <w:shd w:fill="EFECE8" w:val="clear"/>
            <w:vAlign w:val="center"/>
          </w:tcPr>
          <w:p>
            <w:pPr>
              <w:pStyle w:val="TableContents"/>
              <w:bidi w:val="0"/>
              <w:spacing w:before="0" w:after="283"/>
              <w:jc w:val="left"/>
              <w:rPr>
                <w:sz w:val="4"/>
                <w:szCs w:val="4"/>
              </w:rPr>
            </w:pPr>
            <w:r>
              <w:rPr>
                <w:sz w:val="4"/>
                <w:szCs w:val="4"/>
              </w:rPr>
            </w:r>
          </w:p>
        </w:tc>
        <w:tc>
          <w:tcPr>
            <w:tcW w:w="3309" w:type="dxa"/>
            <w:gridSpan w:val="5"/>
            <w:tcBorders/>
            <w:shd w:fill="EFECE8" w:val="clear"/>
            <w:vAlign w:val="center"/>
          </w:tcPr>
          <w:p>
            <w:pPr>
              <w:pStyle w:val="TableContents"/>
              <w:bidi w:val="0"/>
              <w:spacing w:before="0" w:after="283"/>
              <w:jc w:val="left"/>
              <w:rPr>
                <w:sz w:val="4"/>
                <w:szCs w:val="4"/>
              </w:rPr>
            </w:pPr>
            <w:r>
              <w:rPr>
                <w:sz w:val="4"/>
                <w:szCs w:val="4"/>
              </w:rPr>
            </w:r>
          </w:p>
        </w:tc>
        <w:tc>
          <w:tcPr>
            <w:tcW w:w="1898" w:type="dxa"/>
            <w:gridSpan w:val="5"/>
            <w:tcBorders/>
            <w:shd w:fill="EFECE8" w:val="clear"/>
            <w:vAlign w:val="center"/>
          </w:tcPr>
          <w:p>
            <w:pPr>
              <w:pStyle w:val="TableContents"/>
              <w:bidi w:val="0"/>
              <w:spacing w:before="0" w:after="283"/>
              <w:jc w:val="left"/>
              <w:rPr>
                <w:sz w:val="4"/>
                <w:szCs w:val="4"/>
              </w:rPr>
            </w:pPr>
            <w:r>
              <w:rPr>
                <w:sz w:val="4"/>
                <w:szCs w:val="4"/>
              </w:rPr>
            </w:r>
          </w:p>
        </w:tc>
        <w:tc>
          <w:tcPr>
            <w:tcW w:w="352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476" w:type="dxa"/>
            <w:tcBorders/>
            <w:shd w:fill="EFECE8" w:val="cle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Holders(1)</w:t>
            </w:r>
          </w:p>
        </w:tc>
        <w:tc>
          <w:tcPr>
            <w:tcW w:w="60" w:type="dxa"/>
            <w:tcBorders/>
            <w:shd w:fill="EFECE8" w:val="clear"/>
            <w:vAlign w:val="center"/>
          </w:tcPr>
          <w:p>
            <w:pPr>
              <w:pStyle w:val="TableContents"/>
              <w:bidi w:val="0"/>
              <w:spacing w:before="0" w:after="283"/>
              <w:jc w:val="left"/>
              <w:rPr/>
            </w:pPr>
            <w:r>
              <w:rPr/>
              <w:t> </w:t>
            </w:r>
          </w:p>
        </w:tc>
        <w:tc>
          <w:tcPr>
            <w:tcW w:w="173" w:type="dxa"/>
            <w:tcBorders/>
            <w:shd w:fill="EFECE8" w:val="clear"/>
            <w:vAlign w:val="center"/>
          </w:tcPr>
          <w:p>
            <w:pPr>
              <w:pStyle w:val="TableContents"/>
              <w:bidi w:val="0"/>
              <w:spacing w:before="0" w:after="283"/>
              <w:jc w:val="left"/>
              <w:rPr/>
            </w:pPr>
            <w:r>
              <w:rPr/>
              <w:t> </w:t>
            </w:r>
          </w:p>
        </w:tc>
        <w:tc>
          <w:tcPr>
            <w:tcW w:w="173" w:type="dxa"/>
            <w:tcBorders/>
            <w:shd w:fill="EFECE8" w:val="clear"/>
            <w:vAlign w:val="center"/>
          </w:tcPr>
          <w:p>
            <w:pPr>
              <w:pStyle w:val="TableContents"/>
              <w:bidi w:val="0"/>
              <w:spacing w:before="0" w:after="283"/>
              <w:jc w:val="left"/>
              <w:rPr/>
            </w:pPr>
            <w:r>
              <w:rPr/>
              <w:t> </w:t>
            </w:r>
          </w:p>
        </w:tc>
        <w:tc>
          <w:tcPr>
            <w:tcW w:w="2835" w:type="dxa"/>
            <w:tcBorders/>
            <w:shd w:fill="EFECE8" w:val="clear"/>
            <w:vAlign w:val="center"/>
          </w:tcPr>
          <w:p>
            <w:pPr>
              <w:pStyle w:val="TableContents"/>
              <w:bidi w:val="0"/>
              <w:spacing w:before="0" w:after="283"/>
              <w:jc w:val="right"/>
              <w:rPr/>
            </w:pPr>
            <w:r>
              <w:rPr/>
              <w:t>2,166,122</w:t>
            </w:r>
          </w:p>
        </w:tc>
        <w:tc>
          <w:tcPr>
            <w:tcW w:w="68"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56" w:type="dxa"/>
            <w:tcBorders/>
            <w:shd w:fill="EFECE8" w:val="clear"/>
            <w:vAlign w:val="center"/>
          </w:tcPr>
          <w:p>
            <w:pPr>
              <w:pStyle w:val="TableContents"/>
              <w:bidi w:val="0"/>
              <w:spacing w:before="0" w:after="283"/>
              <w:jc w:val="left"/>
              <w:rPr/>
            </w:pPr>
            <w:r>
              <w:rPr/>
              <w:t> </w:t>
            </w:r>
          </w:p>
        </w:tc>
        <w:tc>
          <w:tcPr>
            <w:tcW w:w="156" w:type="dxa"/>
            <w:tcBorders/>
            <w:shd w:fill="EFECE8" w:val="clear"/>
            <w:vAlign w:val="center"/>
          </w:tcPr>
          <w:p>
            <w:pPr>
              <w:pStyle w:val="TableContents"/>
              <w:bidi w:val="0"/>
              <w:spacing w:before="0" w:after="283"/>
              <w:jc w:val="left"/>
              <w:rPr/>
            </w:pPr>
            <w:r>
              <w:rPr/>
              <w:t> </w:t>
            </w:r>
          </w:p>
        </w:tc>
        <w:tc>
          <w:tcPr>
            <w:tcW w:w="1464" w:type="dxa"/>
            <w:tcBorders/>
            <w:shd w:fill="EFECE8" w:val="clear"/>
            <w:vAlign w:val="center"/>
          </w:tcPr>
          <w:p>
            <w:pPr>
              <w:pStyle w:val="TableContents"/>
              <w:bidi w:val="0"/>
              <w:spacing w:before="0" w:after="283"/>
              <w:jc w:val="right"/>
              <w:rPr/>
            </w:pPr>
            <w:r>
              <w:rPr/>
              <w:t>27.50</w:t>
            </w:r>
          </w:p>
        </w:tc>
        <w:tc>
          <w:tcPr>
            <w:tcW w:w="6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 </w:t>
            </w:r>
          </w:p>
        </w:tc>
        <w:tc>
          <w:tcPr>
            <w:tcW w:w="2979" w:type="dxa"/>
            <w:tcBorders/>
            <w:shd w:fill="EFECE8" w:val="clear"/>
            <w:vAlign w:val="center"/>
          </w:tcPr>
          <w:p>
            <w:pPr>
              <w:pStyle w:val="TableContents"/>
              <w:bidi w:val="0"/>
              <w:spacing w:before="0" w:after="283"/>
              <w:jc w:val="right"/>
              <w:rPr/>
            </w:pPr>
            <w:r>
              <w:rPr/>
              <w:t>1,131,245</w:t>
            </w:r>
          </w:p>
        </w:tc>
        <w:tc>
          <w:tcPr>
            <w:tcW w:w="119" w:type="dxa"/>
            <w:tcBorders/>
            <w:shd w:fill="EFECE8" w:val="clear"/>
            <w:vAlign w:val="center"/>
          </w:tcPr>
          <w:p>
            <w:pPr>
              <w:pStyle w:val="TableContents"/>
              <w:bidi w:val="0"/>
              <w:spacing w:before="0" w:after="283"/>
              <w:jc w:val="left"/>
              <w:rPr>
                <w:sz w:val="4"/>
                <w:szCs w:val="4"/>
              </w:rPr>
            </w:pPr>
            <w:r>
              <w:rPr>
                <w:sz w:val="4"/>
                <w:szCs w:val="4"/>
              </w:rPr>
            </w:r>
          </w:p>
        </w:tc>
      </w:tr>
      <w:tr>
        <w:trPr/>
        <w:tc>
          <w:tcPr>
            <w:tcW w:w="1476" w:type="dxa"/>
            <w:tcBorders/>
            <w:vAlign w:val="center"/>
          </w:tcPr>
          <w:p>
            <w:pPr>
              <w:pStyle w:val="TableContents"/>
              <w:bidi w:val="0"/>
              <w:spacing w:before="0" w:after="283"/>
              <w:jc w:val="left"/>
              <w:rPr>
                <w:sz w:val="4"/>
                <w:szCs w:val="4"/>
              </w:rPr>
            </w:pPr>
            <w:r>
              <w:rPr>
                <w:sz w:val="4"/>
                <w:szCs w:val="4"/>
              </w:rPr>
            </w:r>
          </w:p>
        </w:tc>
        <w:tc>
          <w:tcPr>
            <w:tcW w:w="3309" w:type="dxa"/>
            <w:gridSpan w:val="5"/>
            <w:tcBorders/>
            <w:vAlign w:val="center"/>
          </w:tcPr>
          <w:p>
            <w:pPr>
              <w:pStyle w:val="TableContents"/>
              <w:bidi w:val="0"/>
              <w:spacing w:before="0" w:after="283"/>
              <w:jc w:val="left"/>
              <w:rPr>
                <w:sz w:val="4"/>
                <w:szCs w:val="4"/>
              </w:rPr>
            </w:pPr>
            <w:r>
              <w:rPr>
                <w:sz w:val="4"/>
                <w:szCs w:val="4"/>
              </w:rPr>
            </w:r>
          </w:p>
        </w:tc>
        <w:tc>
          <w:tcPr>
            <w:tcW w:w="1898" w:type="dxa"/>
            <w:gridSpan w:val="5"/>
            <w:tcBorders/>
            <w:vAlign w:val="center"/>
          </w:tcPr>
          <w:p>
            <w:pPr>
              <w:pStyle w:val="TableContents"/>
              <w:bidi w:val="0"/>
              <w:spacing w:before="0" w:after="283"/>
              <w:jc w:val="left"/>
              <w:rPr>
                <w:sz w:val="4"/>
                <w:szCs w:val="4"/>
              </w:rPr>
            </w:pPr>
            <w:r>
              <w:rPr>
                <w:sz w:val="4"/>
                <w:szCs w:val="4"/>
              </w:rPr>
            </w:r>
          </w:p>
        </w:tc>
        <w:tc>
          <w:tcPr>
            <w:tcW w:w="3522" w:type="dxa"/>
            <w:gridSpan w:val="5"/>
            <w:tcBorders/>
            <w:vAlign w:val="center"/>
          </w:tcPr>
          <w:p>
            <w:pPr>
              <w:pStyle w:val="TableContents"/>
              <w:bidi w:val="0"/>
              <w:spacing w:before="0" w:after="283"/>
              <w:jc w:val="left"/>
              <w:rPr>
                <w:sz w:val="4"/>
                <w:szCs w:val="4"/>
              </w:rPr>
            </w:pPr>
            <w:r>
              <w:rPr>
                <w:sz w:val="4"/>
                <w:szCs w:val="4"/>
              </w:rPr>
            </w:r>
          </w:p>
        </w:tc>
      </w:tr>
      <w:tr>
        <w:trPr/>
        <w:tc>
          <w:tcPr>
            <w:tcW w:w="1476" w:type="dxa"/>
            <w:tcBorders/>
            <w:vAlign w:val="center"/>
          </w:tcPr>
          <w:p>
            <w:pPr>
              <w:pStyle w:val="TableContents"/>
              <w:bidi w:val="0"/>
              <w:spacing w:before="0" w:after="0"/>
              <w:jc w:val="left"/>
              <w:rPr>
                <w:rFonts w:ascii="arial" w:hAnsi="arial"/>
                <w:sz w:val="18"/>
              </w:rPr>
            </w:pPr>
            <w:r>
              <w:rPr>
                <w:rFonts w:ascii="arial" w:hAnsi="arial"/>
                <w:sz w:val="18"/>
              </w:rPr>
              <w:t>Equity Compensation Plans Not Approved by Shareholders(2)</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2835" w:type="dxa"/>
            <w:tcBorders/>
            <w:vAlign w:val="center"/>
          </w:tcPr>
          <w:p>
            <w:pPr>
              <w:pStyle w:val="TableContents"/>
              <w:bidi w:val="0"/>
              <w:spacing w:before="0" w:after="283"/>
              <w:jc w:val="right"/>
              <w:rPr/>
            </w:pPr>
            <w:r>
              <w:rPr/>
              <w:t>607,437</w:t>
            </w:r>
          </w:p>
        </w:tc>
        <w:tc>
          <w:tcPr>
            <w:tcW w:w="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64" w:type="dxa"/>
            <w:tcBorders/>
            <w:vAlign w:val="center"/>
          </w:tcPr>
          <w:p>
            <w:pPr>
              <w:pStyle w:val="TableContents"/>
              <w:bidi w:val="0"/>
              <w:spacing w:before="0" w:after="283"/>
              <w:jc w:val="right"/>
              <w:rPr/>
            </w:pPr>
            <w:r>
              <w:rPr/>
              <w:t>42.64</w:t>
            </w:r>
          </w:p>
        </w:tc>
        <w:tc>
          <w:tcPr>
            <w:tcW w:w="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979" w:type="dxa"/>
            <w:tcBorders/>
            <w:vAlign w:val="center"/>
          </w:tcPr>
          <w:p>
            <w:pPr>
              <w:pStyle w:val="TableContents"/>
              <w:bidi w:val="0"/>
              <w:spacing w:before="0" w:after="283"/>
              <w:jc w:val="right"/>
              <w:rPr/>
            </w:pPr>
            <w:r>
              <w:rPr/>
              <w:t>536,871</w:t>
            </w:r>
          </w:p>
        </w:tc>
        <w:tc>
          <w:tcPr>
            <w:tcW w:w="119"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EFECE8" w:val="clear"/>
            <w:vAlign w:val="center"/>
          </w:tcPr>
          <w:p>
            <w:pPr>
              <w:pStyle w:val="TableContents"/>
              <w:bidi w:val="0"/>
              <w:spacing w:before="0" w:after="283"/>
              <w:jc w:val="left"/>
              <w:rPr>
                <w:sz w:val="4"/>
                <w:szCs w:val="4"/>
              </w:rPr>
            </w:pPr>
            <w:r>
              <w:rPr>
                <w:sz w:val="4"/>
                <w:szCs w:val="4"/>
              </w:rPr>
            </w:r>
          </w:p>
        </w:tc>
        <w:tc>
          <w:tcPr>
            <w:tcW w:w="3309" w:type="dxa"/>
            <w:gridSpan w:val="5"/>
            <w:tcBorders/>
            <w:shd w:fill="EFECE8" w:val="clear"/>
            <w:vAlign w:val="center"/>
          </w:tcPr>
          <w:p>
            <w:pPr>
              <w:pStyle w:val="TableContents"/>
              <w:bidi w:val="0"/>
              <w:spacing w:before="0" w:after="283"/>
              <w:jc w:val="left"/>
              <w:rPr>
                <w:sz w:val="4"/>
                <w:szCs w:val="4"/>
              </w:rPr>
            </w:pPr>
            <w:r>
              <w:rPr>
                <w:sz w:val="4"/>
                <w:szCs w:val="4"/>
              </w:rPr>
            </w:r>
          </w:p>
        </w:tc>
        <w:tc>
          <w:tcPr>
            <w:tcW w:w="1898" w:type="dxa"/>
            <w:gridSpan w:val="5"/>
            <w:tcBorders/>
            <w:shd w:fill="EFECE8" w:val="clear"/>
            <w:vAlign w:val="center"/>
          </w:tcPr>
          <w:p>
            <w:pPr>
              <w:pStyle w:val="TableContents"/>
              <w:bidi w:val="0"/>
              <w:spacing w:before="0" w:after="283"/>
              <w:jc w:val="left"/>
              <w:rPr>
                <w:sz w:val="4"/>
                <w:szCs w:val="4"/>
              </w:rPr>
            </w:pPr>
            <w:r>
              <w:rPr>
                <w:sz w:val="4"/>
                <w:szCs w:val="4"/>
              </w:rPr>
            </w:r>
          </w:p>
        </w:tc>
        <w:tc>
          <w:tcPr>
            <w:tcW w:w="3522" w:type="dxa"/>
            <w:gridSpan w:val="5"/>
            <w:tcBorders/>
            <w:shd w:fill="EFECE8" w:val="clear"/>
            <w:vAlign w:val="center"/>
          </w:tcPr>
          <w:p>
            <w:pPr>
              <w:pStyle w:val="TableContents"/>
              <w:bidi w:val="0"/>
              <w:spacing w:before="0" w:after="283"/>
              <w:jc w:val="left"/>
              <w:rPr>
                <w:sz w:val="4"/>
                <w:szCs w:val="4"/>
              </w:rPr>
            </w:pPr>
            <w:r>
              <w:rPr>
                <w:sz w:val="4"/>
                <w:szCs w:val="4"/>
              </w:rPr>
            </w:r>
          </w:p>
        </w:tc>
      </w:tr>
      <w:tr>
        <w:trPr/>
        <w:tc>
          <w:tcPr>
            <w:tcW w:w="1476" w:type="dxa"/>
            <w:tcBorders/>
            <w:shd w:fill="EFECE8" w:val="cle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shd w:fill="EFECE8" w:val="clear"/>
            <w:vAlign w:val="center"/>
          </w:tcPr>
          <w:p>
            <w:pPr>
              <w:pStyle w:val="TableContents"/>
              <w:bidi w:val="0"/>
              <w:spacing w:before="0" w:after="283"/>
              <w:jc w:val="left"/>
              <w:rPr/>
            </w:pPr>
            <w:r>
              <w:rPr/>
              <w:t> </w:t>
            </w:r>
          </w:p>
        </w:tc>
        <w:tc>
          <w:tcPr>
            <w:tcW w:w="173" w:type="dxa"/>
            <w:tcBorders/>
            <w:shd w:fill="EFECE8" w:val="clear"/>
            <w:vAlign w:val="center"/>
          </w:tcPr>
          <w:p>
            <w:pPr>
              <w:pStyle w:val="TableContents"/>
              <w:bidi w:val="0"/>
              <w:spacing w:before="0" w:after="283"/>
              <w:jc w:val="left"/>
              <w:rPr/>
            </w:pPr>
            <w:r>
              <w:rPr/>
              <w:t> </w:t>
            </w:r>
          </w:p>
        </w:tc>
        <w:tc>
          <w:tcPr>
            <w:tcW w:w="173" w:type="dxa"/>
            <w:tcBorders/>
            <w:shd w:fill="EFECE8" w:val="clear"/>
            <w:vAlign w:val="center"/>
          </w:tcPr>
          <w:p>
            <w:pPr>
              <w:pStyle w:val="TableContents"/>
              <w:bidi w:val="0"/>
              <w:spacing w:before="0" w:after="283"/>
              <w:jc w:val="left"/>
              <w:rPr/>
            </w:pPr>
            <w:r>
              <w:rPr/>
              <w:t> </w:t>
            </w:r>
          </w:p>
        </w:tc>
        <w:tc>
          <w:tcPr>
            <w:tcW w:w="2835" w:type="dxa"/>
            <w:tcBorders/>
            <w:shd w:fill="EFECE8" w:val="clear"/>
            <w:vAlign w:val="center"/>
          </w:tcPr>
          <w:p>
            <w:pPr>
              <w:pStyle w:val="TableContents"/>
              <w:bidi w:val="0"/>
              <w:spacing w:before="0" w:after="283"/>
              <w:jc w:val="right"/>
              <w:rPr/>
            </w:pPr>
            <w:r>
              <w:rPr/>
              <w:t>2,773,559</w:t>
            </w:r>
          </w:p>
        </w:tc>
        <w:tc>
          <w:tcPr>
            <w:tcW w:w="68"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56" w:type="dxa"/>
            <w:tcBorders/>
            <w:shd w:fill="EFECE8" w:val="clear"/>
            <w:vAlign w:val="center"/>
          </w:tcPr>
          <w:p>
            <w:pPr>
              <w:pStyle w:val="TableContents"/>
              <w:bidi w:val="0"/>
              <w:spacing w:before="0" w:after="283"/>
              <w:jc w:val="left"/>
              <w:rPr/>
            </w:pPr>
            <w:r>
              <w:rPr/>
              <w:t> </w:t>
            </w:r>
          </w:p>
        </w:tc>
        <w:tc>
          <w:tcPr>
            <w:tcW w:w="156" w:type="dxa"/>
            <w:tcBorders/>
            <w:shd w:fill="EFECE8" w:val="clear"/>
            <w:vAlign w:val="center"/>
          </w:tcPr>
          <w:p>
            <w:pPr>
              <w:pStyle w:val="TableContents"/>
              <w:bidi w:val="0"/>
              <w:spacing w:before="0" w:after="283"/>
              <w:jc w:val="left"/>
              <w:rPr/>
            </w:pPr>
            <w:r>
              <w:rPr/>
              <w:t> </w:t>
            </w:r>
          </w:p>
        </w:tc>
        <w:tc>
          <w:tcPr>
            <w:tcW w:w="1464" w:type="dxa"/>
            <w:tcBorders/>
            <w:shd w:fill="EFECE8" w:val="clear"/>
            <w:vAlign w:val="center"/>
          </w:tcPr>
          <w:p>
            <w:pPr>
              <w:pStyle w:val="TableContents"/>
              <w:bidi w:val="0"/>
              <w:spacing w:before="0" w:after="283"/>
              <w:jc w:val="right"/>
              <w:rPr/>
            </w:pPr>
            <w:r>
              <w:rPr/>
              <w:t>38.88</w:t>
            </w:r>
          </w:p>
        </w:tc>
        <w:tc>
          <w:tcPr>
            <w:tcW w:w="62" w:type="dxa"/>
            <w:tcBorders/>
            <w:shd w:fill="EFECE8" w:val="clear"/>
            <w:vAlign w:val="center"/>
          </w:tcPr>
          <w:p>
            <w:pPr>
              <w:pStyle w:val="TableContents"/>
              <w:bidi w:val="0"/>
              <w:spacing w:before="0" w:after="283"/>
              <w:jc w:val="left"/>
              <w:rPr>
                <w:sz w:val="4"/>
                <w:szCs w:val="4"/>
              </w:rPr>
            </w:pPr>
            <w:r>
              <w:rPr>
                <w:sz w:val="4"/>
                <w:szCs w:val="4"/>
              </w:rPr>
            </w:r>
          </w:p>
        </w:tc>
        <w:tc>
          <w:tcPr>
            <w:tcW w:w="60"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 </w:t>
            </w:r>
          </w:p>
        </w:tc>
        <w:tc>
          <w:tcPr>
            <w:tcW w:w="182" w:type="dxa"/>
            <w:tcBorders/>
            <w:shd w:fill="EFECE8" w:val="clear"/>
            <w:vAlign w:val="center"/>
          </w:tcPr>
          <w:p>
            <w:pPr>
              <w:pStyle w:val="TableContents"/>
              <w:bidi w:val="0"/>
              <w:spacing w:before="0" w:after="283"/>
              <w:jc w:val="left"/>
              <w:rPr/>
            </w:pPr>
            <w:r>
              <w:rPr/>
              <w:t> </w:t>
            </w:r>
          </w:p>
        </w:tc>
        <w:tc>
          <w:tcPr>
            <w:tcW w:w="2979" w:type="dxa"/>
            <w:tcBorders/>
            <w:shd w:fill="EFECE8" w:val="clear"/>
            <w:vAlign w:val="center"/>
          </w:tcPr>
          <w:p>
            <w:pPr>
              <w:pStyle w:val="TableContents"/>
              <w:bidi w:val="0"/>
              <w:spacing w:before="0" w:after="283"/>
              <w:jc w:val="right"/>
              <w:rPr/>
            </w:pPr>
            <w:r>
              <w:rPr/>
              <w:t>1,668,116</w:t>
            </w:r>
          </w:p>
        </w:tc>
        <w:tc>
          <w:tcPr>
            <w:tcW w:w="119" w:type="dxa"/>
            <w:tcBorders/>
            <w:shd w:fill="EFECE8"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305"/>
        <w:gridCol w:w="9620"/>
      </w:tblGrid>
      <w:tr>
        <w:trPr/>
        <w:tc>
          <w:tcPr>
            <w:tcW w:w="305" w:type="dxa"/>
            <w:tcBorders/>
            <w:vAlign w:val="center"/>
          </w:tcPr>
          <w:p>
            <w:pPr>
              <w:pStyle w:val="TableContents"/>
              <w:bidi w:val="0"/>
              <w:spacing w:before="0" w:after="283"/>
              <w:jc w:val="left"/>
              <w:rPr/>
            </w:pPr>
            <w:r>
              <w:rPr/>
              <w:t>(1)</w:t>
            </w:r>
          </w:p>
        </w:tc>
        <w:tc>
          <w:tcPr>
            <w:tcW w:w="9620" w:type="dxa"/>
            <w:tcBorders/>
            <w:vAlign w:val="center"/>
          </w:tcPr>
          <w:p>
            <w:pPr>
              <w:pStyle w:val="TableContents"/>
              <w:bidi w:val="0"/>
              <w:spacing w:before="0" w:after="0"/>
              <w:jc w:val="left"/>
              <w:rPr>
                <w:rFonts w:ascii="arial" w:hAnsi="arial"/>
                <w:sz w:val="16"/>
              </w:rPr>
            </w:pPr>
            <w:r>
              <w:rPr>
                <w:rFonts w:ascii="arial" w:hAnsi="arial"/>
                <w:sz w:val="16"/>
              </w:rPr>
              <w:t xml:space="preserve">Includes the TransMedics Group, Inc. 2019 Stock Incentive Plan and the TransMedics Group, Inc. Employee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arial" w:hAnsi="arial"/>
                <w:sz w:val="16"/>
              </w:rPr>
            </w:pPr>
            <w:r>
              <w:rPr>
                <w:rFonts w:ascii="arial" w:hAnsi="arial"/>
                <w:sz w:val="16"/>
              </w:rPr>
              <w:t xml:space="preserve">Includes the TransMedics Group, Inc. Inducement Plan, pursuant to which equity awards may be granted to new employees in accordance with Nasdaq Listing Rule 5635(c)(4).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305"/>
        <w:gridCol w:w="7745"/>
      </w:tblGrid>
      <w:tr>
        <w:trPr/>
        <w:tc>
          <w:tcPr>
            <w:tcW w:w="305" w:type="dxa"/>
            <w:tcBorders/>
            <w:vAlign w:val="center"/>
          </w:tcPr>
          <w:p>
            <w:pPr>
              <w:pStyle w:val="TableContents"/>
              <w:bidi w:val="0"/>
              <w:spacing w:before="0" w:after="283"/>
              <w:jc w:val="left"/>
              <w:rPr/>
            </w:pPr>
            <w:r>
              <w:rPr/>
              <w:t>(3)</w:t>
            </w:r>
          </w:p>
        </w:tc>
        <w:tc>
          <w:tcPr>
            <w:tcW w:w="7745" w:type="dxa"/>
            <w:tcBorders/>
            <w:vAlign w:val="center"/>
          </w:tcPr>
          <w:p>
            <w:pPr>
              <w:pStyle w:val="TableContents"/>
              <w:bidi w:val="0"/>
              <w:spacing w:before="0" w:after="0"/>
              <w:jc w:val="left"/>
              <w:rPr>
                <w:rFonts w:ascii="arial" w:hAnsi="arial"/>
                <w:sz w:val="16"/>
              </w:rPr>
            </w:pPr>
            <w:r>
              <w:rPr>
                <w:rFonts w:ascii="arial" w:hAnsi="arial"/>
                <w:sz w:val="16"/>
              </w:rPr>
              <w:t xml:space="preserve">The weighted average exercise price in Column (b) excludes RSUs, which do not have an exercise price.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49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6" w:name="toc803709_23"/>
      <w:bookmarkEnd w:id="26"/>
      <w:r>
        <w:rPr>
          <w:rFonts w:ascii="arial" w:hAnsi="arial"/>
          <w:b/>
          <w:color w:val="A41F35"/>
          <w:sz w:val="56"/>
        </w:rPr>
        <w:t xml:space="preserve">Report of the Audit Committee </w:t>
      </w:r>
    </w:p>
    <w:p>
      <w:pPr>
        <w:pStyle w:val="TextBody"/>
        <w:bidi w:val="0"/>
        <w:spacing w:before="480" w:after="0"/>
        <w:jc w:val="left"/>
        <w:rPr>
          <w:rFonts w:ascii="arial" w:hAnsi="arial"/>
          <w:i/>
          <w:sz w:val="18"/>
        </w:rPr>
      </w:pPr>
      <w:r>
        <w:rPr>
          <w:rFonts w:ascii="arial" w:hAnsi="arial"/>
          <w:i/>
          <w:sz w:val="18"/>
        </w:rPr>
        <w:t xml:space="preserve">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 </w:t>
      </w:r>
    </w:p>
    <w:p>
      <w:pPr>
        <w:pStyle w:val="TextBody"/>
        <w:bidi w:val="0"/>
        <w:spacing w:before="160" w:after="0"/>
        <w:jc w:val="left"/>
        <w:rPr>
          <w:rFonts w:ascii="arial" w:hAnsi="arial"/>
          <w:sz w:val="18"/>
        </w:rPr>
      </w:pPr>
      <w:r>
        <w:rPr>
          <w:rFonts w:ascii="arial" w:hAnsi="arial"/>
          <w:sz w:val="18"/>
        </w:rPr>
        <w:t xml:space="preserve">We operate in accordance with a written charter adopted by our Board and reviewed annually by the Audit Committee. We are responsible for overseeing the quality and integrity of TransMedics Group, Inc.’s accounting, auditing and financial reporting practices and internal controls. In accordance with the rules of the SEC and Nasdaq, the Audit Committee is composed entirely of members who are independent, as defined by the listing standards of Nasdaq and TransMedics Group, Inc.’s Corporate Governance Guidelines. Further, our Board has determined that three of our members (Mr. Gunderson, Mr. Kania, and Ms. Raines) are Audit Committee financial experts as defined by the rules of the SEC. </w:t>
      </w:r>
    </w:p>
    <w:p>
      <w:pPr>
        <w:pStyle w:val="TextBody"/>
        <w:bidi w:val="0"/>
        <w:spacing w:before="160" w:after="0"/>
        <w:jc w:val="left"/>
        <w:rPr>
          <w:rFonts w:ascii="arial" w:hAnsi="arial"/>
          <w:sz w:val="18"/>
        </w:rPr>
      </w:pPr>
      <w:r>
        <w:rPr>
          <w:rFonts w:ascii="arial" w:hAnsi="arial"/>
          <w:sz w:val="18"/>
        </w:rPr>
        <w:t xml:space="preserve">The Audit Committee met five times during fiscal 2024 with TransMedics Group, Inc.’s management and PricewaterhouseCoopers LLP (“PwC”), TransMedics Group, Inc.’s independent registered public accounting firm, including, but not limited to, meetings held to review and discuss the annual audited and quarterly financial statements and the Company’s earnings press releases. </w:t>
      </w:r>
    </w:p>
    <w:p>
      <w:pPr>
        <w:pStyle w:val="TextBody"/>
        <w:bidi w:val="0"/>
        <w:spacing w:before="160" w:after="0"/>
        <w:jc w:val="left"/>
        <w:rPr>
          <w:rFonts w:ascii="arial" w:hAnsi="arial"/>
          <w:sz w:val="18"/>
        </w:rPr>
      </w:pPr>
      <w:r>
        <w:rPr>
          <w:rFonts w:ascii="arial" w:hAnsi="arial"/>
          <w:sz w:val="18"/>
        </w:rPr>
        <w:t xml:space="preserve">We believe that we fully discharged our oversight responsibilities as described in our charter, including with respect to the audit process. We reviewed and discussed our audited financial statements for the fiscal year ended December 31, 2024, with management and PwC. Management has the responsibility for the preparation of TransMedics Group Inc.’s financial statements and the effectiveness of internal control over financial reporting and procedures that are reasonably designed to assure compliance with accounting standards and applicable laws and regulations, and PwC has the responsibility for the audit of the Company’s financial statements. The Audit Committee discussed with PricewaterhouseCoopers LLP the matters required to be discussed by Public Company Accounting Oversight Board (“PCAOB”) Auditing Standard No. 1301 and the SEC. We received the written disclosures and the letter from PwC pursuant to Rule 3526, Communication with Audit Committees Concerning Independence, of the PCAOB, concerning any relationships between PwC and TransMedics Group, Inc. and the potential effects of any disclosed relationships on PwC’s independence, and discussed with PwC its independence. We reviewed with PwC their audit plans, audit scope, identification of audit risks and their audit efforts, and discussed and reviewed the results of PwC’s examination of TransMedics Group, Inc.’s financial statements both with and without management. </w:t>
      </w:r>
    </w:p>
    <w:p>
      <w:pPr>
        <w:pStyle w:val="TextBody"/>
        <w:bidi w:val="0"/>
        <w:spacing w:before="160" w:after="0"/>
        <w:jc w:val="left"/>
        <w:rPr>
          <w:rFonts w:ascii="arial" w:hAnsi="arial"/>
          <w:sz w:val="18"/>
        </w:rPr>
      </w:pPr>
      <w:r>
        <w:rPr>
          <w:rFonts w:ascii="arial" w:hAnsi="arial"/>
          <w:sz w:val="18"/>
        </w:rPr>
        <w:t xml:space="preserve">The Audit Committee considered any fees paid to PwC for the provision of non-audit related services and does not believe that these fees compromise PwC’s independence in performing the audit. </w:t>
      </w:r>
    </w:p>
    <w:p>
      <w:pPr>
        <w:pStyle w:val="TextBody"/>
        <w:bidi w:val="0"/>
        <w:spacing w:before="160" w:after="0"/>
        <w:jc w:val="left"/>
        <w:rPr>
          <w:rFonts w:ascii="arial" w:hAnsi="arial"/>
          <w:sz w:val="18"/>
        </w:rPr>
      </w:pPr>
      <w:r>
        <w:rPr>
          <w:rFonts w:ascii="arial" w:hAnsi="arial"/>
          <w:sz w:val="18"/>
        </w:rPr>
        <w:t xml:space="preserve">Based on these reviews and discussions with management and PwC, we approved the inclusion of TransMedics Group, Inc.’s audited financial statements in its Annual Report on Form 10-K for the fiscal year ended December 31, 2024 for filing with the SEC. We also have selected PwC as the independent registered public accounting firm for the fiscal year ended December 31, 2025, subject to ratification by TransMedics Group, Inc.’s shareholders. </w:t>
      </w:r>
    </w:p>
    <w:p>
      <w:pPr>
        <w:pStyle w:val="TextBody"/>
        <w:bidi w:val="0"/>
        <w:spacing w:before="160" w:after="0"/>
        <w:jc w:val="left"/>
        <w:rPr>
          <w:rFonts w:ascii="arial" w:hAnsi="arial"/>
          <w:sz w:val="18"/>
        </w:rPr>
      </w:pPr>
      <w:r>
        <w:rPr>
          <w:rFonts w:ascii="arial" w:hAnsi="arial"/>
          <w:sz w:val="18"/>
        </w:rPr>
        <w:t xml:space="preserve">Audit Committee </w:t>
      </w:r>
    </w:p>
    <w:p>
      <w:pPr>
        <w:pStyle w:val="TextBody"/>
        <w:bidi w:val="0"/>
        <w:spacing w:before="160" w:after="0"/>
        <w:jc w:val="left"/>
        <w:rPr>
          <w:rFonts w:ascii="arial" w:hAnsi="arial"/>
          <w:sz w:val="18"/>
        </w:rPr>
      </w:pPr>
      <w:r>
        <w:rPr>
          <w:rFonts w:ascii="arial" w:hAnsi="arial"/>
          <w:sz w:val="18"/>
        </w:rPr>
        <w:t xml:space="preserve">Merilee Raines (Chairperson) </w:t>
      </w:r>
    </w:p>
    <w:p>
      <w:pPr>
        <w:pStyle w:val="TextBody"/>
        <w:bidi w:val="0"/>
        <w:spacing w:before="0" w:after="0"/>
        <w:jc w:val="left"/>
        <w:rPr>
          <w:rFonts w:ascii="arial" w:hAnsi="arial"/>
          <w:sz w:val="18"/>
        </w:rPr>
      </w:pPr>
      <w:r>
        <w:rPr>
          <w:rFonts w:ascii="arial" w:hAnsi="arial"/>
          <w:sz w:val="18"/>
        </w:rPr>
        <w:t xml:space="preserve">Edward M. Basile </w:t>
      </w:r>
    </w:p>
    <w:p>
      <w:pPr>
        <w:pStyle w:val="TextBody"/>
        <w:bidi w:val="0"/>
        <w:spacing w:before="0" w:after="0"/>
        <w:jc w:val="left"/>
        <w:rPr>
          <w:rFonts w:ascii="arial" w:hAnsi="arial"/>
          <w:sz w:val="18"/>
        </w:rPr>
      </w:pPr>
      <w:r>
        <w:rPr>
          <w:rFonts w:ascii="arial" w:hAnsi="arial"/>
          <w:sz w:val="18"/>
        </w:rPr>
        <w:t xml:space="preserve">Edwin M. Kania, Jr. </w:t>
      </w:r>
    </w:p>
    <w:p>
      <w:pPr>
        <w:pStyle w:val="TextBody"/>
        <w:bidi w:val="0"/>
        <w:spacing w:before="0" w:after="0"/>
        <w:jc w:val="left"/>
        <w:rPr>
          <w:rFonts w:ascii="arial" w:hAnsi="arial"/>
          <w:sz w:val="18"/>
        </w:rPr>
      </w:pPr>
      <w:r>
        <w:rPr>
          <w:rFonts w:ascii="arial" w:hAnsi="arial"/>
          <w:sz w:val="18"/>
        </w:rPr>
        <w:t xml:space="preserve">Thomas J. Gunderson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50</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7" w:name="toc803709_24"/>
      <w:bookmarkEnd w:id="27"/>
      <w:r>
        <w:rPr>
          <w:rFonts w:ascii="arial" w:hAnsi="arial"/>
          <w:b/>
          <w:color w:val="A41F35"/>
          <w:sz w:val="56"/>
        </w:rPr>
        <w:t xml:space="preserve">Certain Relationships and Related Person Transactions </w:t>
      </w:r>
    </w:p>
    <w:p>
      <w:pPr>
        <w:pStyle w:val="TextBody"/>
        <w:bidi w:val="0"/>
        <w:spacing w:before="480" w:after="0"/>
        <w:jc w:val="left"/>
        <w:rPr>
          <w:rFonts w:ascii="arial" w:hAnsi="arial"/>
          <w:sz w:val="18"/>
        </w:rPr>
      </w:pPr>
      <w:r>
        <w:rPr>
          <w:rFonts w:ascii="arial" w:hAnsi="arial"/>
          <w:sz w:val="18"/>
        </w:rPr>
        <w:t xml:space="preserve">The following is a description of transactions since January 1, 2024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 other than compensation arrangements which are described under “Executive Officer and Director Compensation.” </w:t>
      </w:r>
    </w:p>
    <w:p>
      <w:pPr>
        <w:pStyle w:val="TextBody"/>
        <w:bidi w:val="0"/>
        <w:spacing w:before="360" w:after="0"/>
        <w:jc w:val="left"/>
        <w:rPr>
          <w:rFonts w:ascii="arial" w:hAnsi="arial"/>
          <w:b/>
          <w:color w:val="A41F35"/>
          <w:sz w:val="28"/>
        </w:rPr>
      </w:pPr>
      <w:r>
        <w:rPr>
          <w:rFonts w:ascii="arial" w:hAnsi="arial"/>
          <w:b/>
          <w:color w:val="A41F35"/>
          <w:sz w:val="28"/>
        </w:rPr>
        <w:t xml:space="preserve">Investor Rights Agreement </w:t>
      </w:r>
    </w:p>
    <w:p>
      <w:pPr>
        <w:pStyle w:val="TextBody"/>
        <w:bidi w:val="0"/>
        <w:spacing w:before="120" w:after="0"/>
        <w:jc w:val="left"/>
        <w:rPr>
          <w:rFonts w:ascii="arial" w:hAnsi="arial"/>
          <w:sz w:val="18"/>
        </w:rPr>
      </w:pPr>
      <w:r>
        <w:rPr>
          <w:rFonts w:ascii="arial" w:hAnsi="arial"/>
          <w:sz w:val="18"/>
        </w:rPr>
        <w:t xml:space="preserve">We are a party to an amended and restated investor rights agreement, dated as of May 6, 2019 (the “Investor Rights Agreement”), with holders of our common stock, including some of our directors and 5% shareholders and their affiliates and entities affiliated with our officers and directors. The Investor Rights Agreement provides these holders the right to demand that we file a registration statement or request that their shares be covered by a registration statement that we are otherwise filing. In addition, under the Investor Rights Agreement, certain holders of warrants to purchase shares of our common stock following exercise of the warrants have, with respect to the shares acquired on exercise of the warrants, the same rights to require us to register those shares as the other investor parties to the Investor Rights Agreement. </w:t>
      </w:r>
    </w:p>
    <w:p>
      <w:pPr>
        <w:pStyle w:val="TextBody"/>
        <w:bidi w:val="0"/>
        <w:spacing w:before="360" w:after="0"/>
        <w:jc w:val="left"/>
        <w:rPr>
          <w:rFonts w:ascii="arial" w:hAnsi="arial"/>
          <w:b/>
          <w:color w:val="A41F35"/>
          <w:sz w:val="28"/>
        </w:rPr>
      </w:pPr>
      <w:r>
        <w:rPr>
          <w:rFonts w:ascii="arial" w:hAnsi="arial"/>
          <w:b/>
          <w:color w:val="A41F35"/>
          <w:sz w:val="28"/>
        </w:rPr>
        <w:t xml:space="preserve">Employment Arrangements </w:t>
      </w:r>
    </w:p>
    <w:p>
      <w:pPr>
        <w:pStyle w:val="TextBody"/>
        <w:bidi w:val="0"/>
        <w:spacing w:before="120" w:after="0"/>
        <w:jc w:val="left"/>
        <w:rPr>
          <w:rFonts w:ascii="arial" w:hAnsi="arial"/>
          <w:sz w:val="18"/>
        </w:rPr>
      </w:pPr>
      <w:r>
        <w:rPr>
          <w:rFonts w:ascii="arial" w:hAnsi="arial"/>
          <w:sz w:val="18"/>
        </w:rPr>
        <w:t xml:space="preserve">Dr. Amira Hassanein, the sister of Waleed H. Hassanein, M.D., our President and Chief Executive Officer, is employed by us as Product Director for OCS Lung Program and reports to our Chief Commercial Officer. Her compensation, including salary and bonus, earned in the fiscal year ended December 31, 2024 was $659,954, consistent with other employees at her level and responsibility. She also participated and currently participates in company benefit plans generally available to similarly situated employees. </w:t>
      </w:r>
    </w:p>
    <w:p>
      <w:pPr>
        <w:pStyle w:val="TextBody"/>
        <w:bidi w:val="0"/>
        <w:spacing w:before="360" w:after="0"/>
        <w:jc w:val="left"/>
        <w:rPr>
          <w:rFonts w:ascii="arial" w:hAnsi="arial"/>
          <w:b/>
          <w:color w:val="A41F35"/>
          <w:sz w:val="28"/>
        </w:rPr>
      </w:pPr>
      <w:r>
        <w:rPr>
          <w:rFonts w:ascii="arial" w:hAnsi="arial"/>
          <w:b/>
          <w:color w:val="A41F35"/>
          <w:sz w:val="28"/>
        </w:rPr>
        <w:t xml:space="preserve">Director and Officer Indemnification and Directors’ and Officers’ Liability Insurance </w:t>
      </w:r>
    </w:p>
    <w:p>
      <w:pPr>
        <w:pStyle w:val="TextBody"/>
        <w:bidi w:val="0"/>
        <w:spacing w:before="120" w:after="0"/>
        <w:jc w:val="left"/>
        <w:rPr>
          <w:rFonts w:ascii="arial" w:hAnsi="arial"/>
          <w:sz w:val="18"/>
        </w:rPr>
      </w:pPr>
      <w:r>
        <w:rPr>
          <w:rFonts w:ascii="arial" w:hAnsi="arial"/>
          <w:sz w:val="18"/>
        </w:rPr>
        <w:t xml:space="preserve">Our Articles of Organization provide that we will indemnify our directors and officers to the fullest extent permitted by Massachusetts law. In addition, we have entered into indemnification agreements with our directors and officers. We also maintain a general liability insurance policy, which covers certain liabilities of directors and officers of the Company arising out of claims based on acts or omissions in their capacities as directors or officers. </w:t>
      </w:r>
    </w:p>
    <w:p>
      <w:pPr>
        <w:pStyle w:val="TextBody"/>
        <w:bidi w:val="0"/>
        <w:spacing w:before="360" w:after="0"/>
        <w:jc w:val="left"/>
        <w:rPr>
          <w:rFonts w:ascii="arial" w:hAnsi="arial"/>
          <w:b/>
          <w:color w:val="A41F35"/>
          <w:sz w:val="28"/>
        </w:rPr>
      </w:pPr>
      <w:r>
        <w:rPr>
          <w:rFonts w:ascii="arial" w:hAnsi="arial"/>
          <w:b/>
          <w:color w:val="A41F35"/>
          <w:sz w:val="28"/>
        </w:rPr>
        <w:t xml:space="preserve">Related Person Transaction Policy </w:t>
      </w:r>
    </w:p>
    <w:p>
      <w:pPr>
        <w:pStyle w:val="TextBody"/>
        <w:bidi w:val="0"/>
        <w:spacing w:before="120" w:after="0"/>
        <w:jc w:val="left"/>
        <w:rPr>
          <w:rFonts w:ascii="arial" w:hAnsi="arial"/>
          <w:sz w:val="18"/>
        </w:rPr>
      </w:pPr>
      <w:r>
        <w:rPr>
          <w:rFonts w:ascii="arial" w:hAnsi="arial"/>
          <w:sz w:val="18"/>
        </w:rPr>
        <w:t xml:space="preserve">Our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Other than payment of compensation to Dr. Amira Hassanein for the fiscal year ended December 31, 2024, all of the transactions described in this section occurred prior to the adoption of this policy.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8" w:name="toc803709_25"/>
      <w:bookmarkEnd w:id="28"/>
      <w:r>
        <w:rPr>
          <w:rFonts w:ascii="arial" w:hAnsi="arial"/>
          <w:b/>
          <w:color w:val="A41F35"/>
          <w:sz w:val="56"/>
        </w:rPr>
        <w:t xml:space="preserve">Executive Officers </w:t>
      </w:r>
    </w:p>
    <w:p>
      <w:pPr>
        <w:pStyle w:val="TextBody"/>
        <w:bidi w:val="0"/>
        <w:spacing w:before="480" w:after="0"/>
        <w:jc w:val="left"/>
        <w:rPr>
          <w:rFonts w:ascii="arial" w:hAnsi="arial"/>
          <w:sz w:val="18"/>
        </w:rPr>
      </w:pPr>
      <w:r>
        <w:rPr>
          <w:rFonts w:ascii="arial" w:hAnsi="arial"/>
          <w:sz w:val="18"/>
        </w:rPr>
        <w:t xml:space="preserve">The below table identifies and sets forth certain biographical and other information regarding our executive officers as of March 31, 2025. There are no family relationships among any of our executive officers or directors. </w:t>
      </w:r>
    </w:p>
    <w:p>
      <w:pPr>
        <w:pStyle w:val="TextBody"/>
        <w:bidi w:val="0"/>
        <w:spacing w:before="0" w:after="0"/>
        <w:jc w:val="left"/>
        <w:rPr/>
      </w:pPr>
      <w:r>
        <w:rPr/>
        <w:t> </w:t>
      </w:r>
    </w:p>
    <w:tbl>
      <w:tblPr>
        <w:tblW w:w="9240" w:type="dxa"/>
        <w:jc w:val="left"/>
        <w:tblInd w:w="0" w:type="dxa"/>
        <w:tblLayout w:type="fixed"/>
        <w:tblCellMar>
          <w:top w:w="0" w:type="dxa"/>
          <w:left w:w="0" w:type="dxa"/>
          <w:bottom w:w="0" w:type="dxa"/>
          <w:right w:w="0" w:type="dxa"/>
        </w:tblCellMar>
      </w:tblPr>
      <w:tblGrid>
        <w:gridCol w:w="2285"/>
        <w:gridCol w:w="120"/>
        <w:gridCol w:w="60"/>
        <w:gridCol w:w="440"/>
        <w:gridCol w:w="60"/>
        <w:gridCol w:w="120"/>
        <w:gridCol w:w="615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2285" w:type="dxa"/>
            <w:tcBorders>
              <w:bottom w:val="single" w:sz="16" w:space="0" w:color="A41F35"/>
            </w:tcBorders>
            <w:tcMar>
              <w:bottom w:w="40" w:type="dxa"/>
            </w:tcM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500" w:type="dxa"/>
            <w:gridSpan w:val="2"/>
            <w:tcBorders>
              <w:bottom w:val="single" w:sz="16" w:space="0" w:color="A41F35"/>
            </w:tcBorders>
            <w:tcMar>
              <w:bottom w:w="40" w:type="dxa"/>
            </w:tcMar>
            <w:vAlign w:val="center"/>
          </w:tcPr>
          <w:p>
            <w:pPr>
              <w:pStyle w:val="TableContents"/>
              <w:bidi w:val="0"/>
              <w:spacing w:before="0" w:after="283"/>
              <w:jc w:val="center"/>
              <w:rPr>
                <w:b/>
              </w:rPr>
            </w:pPr>
            <w:r>
              <w:rPr>
                <w:b/>
              </w:rPr>
              <w:t>Age</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6155" w:type="dxa"/>
            <w:tcBorders>
              <w:bottom w:val="single" w:sz="16" w:space="0" w:color="A41F35"/>
            </w:tcBorders>
            <w:tcMar>
              <w:bottom w:w="40" w:type="dxa"/>
            </w:tcMar>
            <w:vAlign w:val="center"/>
          </w:tcPr>
          <w:p>
            <w:pPr>
              <w:pStyle w:val="TableContents"/>
              <w:bidi w:val="0"/>
              <w:spacing w:before="0" w:after="283"/>
              <w:jc w:val="left"/>
              <w:rPr>
                <w:b/>
              </w:rPr>
            </w:pPr>
            <w:r>
              <w:rPr>
                <w:b/>
              </w:rPr>
              <w:t>Position</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80" w:type="dxa"/>
            <w:gridSpan w:val="4"/>
            <w:tcBorders/>
            <w:shd w:fill="EFECE8" w:val="clear"/>
            <w:vAlign w:val="center"/>
          </w:tcPr>
          <w:p>
            <w:pPr>
              <w:pStyle w:val="TableContents"/>
              <w:bidi w:val="0"/>
              <w:spacing w:before="0" w:after="283"/>
              <w:jc w:val="left"/>
              <w:rPr>
                <w:sz w:val="4"/>
                <w:szCs w:val="4"/>
              </w:rPr>
            </w:pPr>
            <w:r>
              <w:rPr>
                <w:sz w:val="4"/>
                <w:szCs w:val="4"/>
              </w:rPr>
            </w:r>
          </w:p>
        </w:tc>
        <w:tc>
          <w:tcPr>
            <w:tcW w:w="627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Waleed H. Hassanein, M.D.</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440" w:type="dxa"/>
            <w:tcBorders/>
            <w:shd w:fill="EFECE8" w:val="clear"/>
            <w:vAlign w:val="center"/>
          </w:tcPr>
          <w:p>
            <w:pPr>
              <w:pStyle w:val="TableContents"/>
              <w:bidi w:val="0"/>
              <w:spacing w:before="0" w:after="283"/>
              <w:jc w:val="right"/>
              <w:rPr/>
            </w:pPr>
            <w:r>
              <w:rPr/>
              <w:t>56  </w:t>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155" w:type="dxa"/>
            <w:tcBorders/>
            <w:shd w:fill="EFECE8" w:val="clear"/>
            <w:vAlign w:val="center"/>
          </w:tcPr>
          <w:p>
            <w:pPr>
              <w:pStyle w:val="TableContents"/>
              <w:bidi w:val="0"/>
              <w:spacing w:before="0" w:after="283"/>
              <w:jc w:val="left"/>
              <w:rPr/>
            </w:pPr>
            <w:r>
              <w:rPr/>
              <w:t>President, Chief Executive Officer and Director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627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Tamer Khayal, M.D.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56  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Chief Commercial Officer</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80" w:type="dxa"/>
            <w:gridSpan w:val="4"/>
            <w:tcBorders/>
            <w:shd w:fill="EFECE8" w:val="clear"/>
            <w:vAlign w:val="center"/>
          </w:tcPr>
          <w:p>
            <w:pPr>
              <w:pStyle w:val="TableContents"/>
              <w:bidi w:val="0"/>
              <w:spacing w:before="0" w:after="283"/>
              <w:jc w:val="left"/>
              <w:rPr>
                <w:sz w:val="4"/>
                <w:szCs w:val="4"/>
              </w:rPr>
            </w:pPr>
            <w:r>
              <w:rPr>
                <w:sz w:val="4"/>
                <w:szCs w:val="4"/>
              </w:rPr>
            </w:r>
          </w:p>
        </w:tc>
        <w:tc>
          <w:tcPr>
            <w:tcW w:w="627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shd w:fill="EFECE8" w:val="clear"/>
            <w:vAlign w:val="center"/>
          </w:tcPr>
          <w:p>
            <w:pPr>
              <w:pStyle w:val="TableContents"/>
              <w:bidi w:val="0"/>
              <w:spacing w:before="0" w:after="0"/>
              <w:jc w:val="left"/>
              <w:rPr>
                <w:rFonts w:ascii="arial" w:hAnsi="arial"/>
                <w:sz w:val="18"/>
              </w:rPr>
            </w:pPr>
            <w:r>
              <w:rPr>
                <w:rFonts w:ascii="arial" w:hAnsi="arial"/>
                <w:sz w:val="18"/>
              </w:rPr>
              <w:t>Gerardo Hernandez</w:t>
            </w:r>
          </w:p>
        </w:tc>
        <w:tc>
          <w:tcPr>
            <w:tcW w:w="120" w:type="dxa"/>
            <w:tcBorders/>
            <w:shd w:fill="EFECE8" w:val="clear"/>
            <w:vAlign w:val="center"/>
          </w:tcPr>
          <w:p>
            <w:pPr>
              <w:pStyle w:val="TableContents"/>
              <w:bidi w:val="0"/>
              <w:spacing w:before="0" w:after="283"/>
              <w:jc w:val="left"/>
              <w:rPr/>
            </w:pPr>
            <w:r>
              <w:rPr/>
              <w:t>  </w:t>
            </w:r>
          </w:p>
        </w:tc>
        <w:tc>
          <w:tcPr>
            <w:tcW w:w="60" w:type="dxa"/>
            <w:tcBorders/>
            <w:shd w:fill="EFECE8" w:val="clear"/>
            <w:vAlign w:val="center"/>
          </w:tcPr>
          <w:p>
            <w:pPr>
              <w:pStyle w:val="TableContents"/>
              <w:bidi w:val="0"/>
              <w:spacing w:before="0" w:after="283"/>
              <w:jc w:val="left"/>
              <w:rPr/>
            </w:pPr>
            <w:r>
              <w:rPr/>
              <w:t> </w:t>
            </w:r>
          </w:p>
        </w:tc>
        <w:tc>
          <w:tcPr>
            <w:tcW w:w="440" w:type="dxa"/>
            <w:tcBorders/>
            <w:shd w:fill="EFECE8" w:val="clear"/>
            <w:vAlign w:val="center"/>
          </w:tcPr>
          <w:p>
            <w:pPr>
              <w:pStyle w:val="TableContents"/>
              <w:bidi w:val="0"/>
              <w:spacing w:before="0" w:after="283"/>
              <w:jc w:val="right"/>
              <w:rPr/>
            </w:pPr>
            <w:r>
              <w:rPr/>
              <w:t>54  </w:t>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6155" w:type="dxa"/>
            <w:tcBorders/>
            <w:shd w:fill="EFECE8" w:val="clear"/>
            <w:vAlign w:val="center"/>
          </w:tcPr>
          <w:p>
            <w:pPr>
              <w:pStyle w:val="TableContents"/>
              <w:bidi w:val="0"/>
              <w:spacing w:before="0" w:after="283"/>
              <w:jc w:val="left"/>
              <w:rPr/>
            </w:pPr>
            <w:r>
              <w:rPr/>
              <w:t>Chief Financial Officer and Treasurer</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6275"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left"/>
              <w:rPr>
                <w:rFonts w:ascii="arial" w:hAnsi="arial"/>
                <w:sz w:val="18"/>
              </w:rPr>
            </w:pPr>
            <w:r>
              <w:rPr>
                <w:rFonts w:ascii="arial" w:hAnsi="arial"/>
                <w:sz w:val="18"/>
              </w:rPr>
              <w:t>Anil Ranganath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44  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r>
        <w:trPr/>
        <w:tc>
          <w:tcPr>
            <w:tcW w:w="2285" w:type="dxa"/>
            <w:tcBorders/>
            <w:shd w:fill="EFECE8" w:val="clear"/>
            <w:vAlign w:val="center"/>
          </w:tcPr>
          <w:p>
            <w:pPr>
              <w:pStyle w:val="TableContents"/>
              <w:bidi w:val="0"/>
              <w:spacing w:before="0" w:after="283"/>
              <w:jc w:val="left"/>
              <w:rPr>
                <w:sz w:val="4"/>
                <w:szCs w:val="4"/>
              </w:rPr>
            </w:pPr>
            <w:r>
              <w:rPr>
                <w:sz w:val="4"/>
                <w:szCs w:val="4"/>
              </w:rPr>
            </w:r>
          </w:p>
        </w:tc>
        <w:tc>
          <w:tcPr>
            <w:tcW w:w="680" w:type="dxa"/>
            <w:gridSpan w:val="4"/>
            <w:tcBorders/>
            <w:shd w:fill="EFECE8" w:val="clear"/>
            <w:vAlign w:val="center"/>
          </w:tcPr>
          <w:p>
            <w:pPr>
              <w:pStyle w:val="TableContents"/>
              <w:bidi w:val="0"/>
              <w:spacing w:before="0" w:after="283"/>
              <w:jc w:val="left"/>
              <w:rPr>
                <w:sz w:val="4"/>
                <w:szCs w:val="4"/>
              </w:rPr>
            </w:pPr>
            <w:r>
              <w:rPr>
                <w:sz w:val="4"/>
                <w:szCs w:val="4"/>
              </w:rPr>
            </w:r>
          </w:p>
        </w:tc>
        <w:tc>
          <w:tcPr>
            <w:tcW w:w="6275" w:type="dxa"/>
            <w:gridSpan w:val="2"/>
            <w:tcBorders/>
            <w:shd w:fill="EFECE8" w:val="clear"/>
            <w:vAlign w:val="center"/>
          </w:tcPr>
          <w:p>
            <w:pPr>
              <w:pStyle w:val="TableContents"/>
              <w:bidi w:val="0"/>
              <w:spacing w:before="0" w:after="283"/>
              <w:jc w:val="left"/>
              <w:rPr>
                <w:sz w:val="4"/>
                <w:szCs w:val="4"/>
              </w:rPr>
            </w:pPr>
            <w:r>
              <w:rPr>
                <w:sz w:val="4"/>
                <w:szCs w:val="4"/>
              </w:rPr>
            </w:r>
          </w:p>
        </w:tc>
      </w:tr>
      <w:tr>
        <w:trPr/>
        <w:tc>
          <w:tcPr>
            <w:tcW w:w="2285" w:type="dxa"/>
            <w:tcBorders>
              <w:bottom w:val="single" w:sz="6"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Nicholas Corcoran</w:t>
            </w:r>
          </w:p>
        </w:tc>
        <w:tc>
          <w:tcPr>
            <w:tcW w:w="120" w:type="dxa"/>
            <w:tcBorders>
              <w:bottom w:val="single" w:sz="6" w:space="0" w:color="A41F35"/>
            </w:tcBorders>
            <w:shd w:fill="EFECE8" w:val="clear"/>
            <w:tcMar>
              <w:bottom w:w="28" w:type="dxa"/>
            </w:tcMar>
            <w:vAlign w:val="center"/>
          </w:tcPr>
          <w:p>
            <w:pPr>
              <w:pStyle w:val="TableContents"/>
              <w:bidi w:val="0"/>
              <w:spacing w:before="0" w:after="283"/>
              <w:jc w:val="left"/>
              <w:rPr/>
            </w:pPr>
            <w:r>
              <w:rPr/>
              <w:t>  </w:t>
            </w:r>
          </w:p>
        </w:tc>
        <w:tc>
          <w:tcPr>
            <w:tcW w:w="60" w:type="dxa"/>
            <w:tcBorders>
              <w:bottom w:val="single" w:sz="6" w:space="0" w:color="A41F35"/>
            </w:tcBorders>
            <w:shd w:fill="EFECE8" w:val="clear"/>
            <w:tcMar>
              <w:bottom w:w="40" w:type="dxa"/>
            </w:tcMar>
            <w:vAlign w:val="center"/>
          </w:tcPr>
          <w:p>
            <w:pPr>
              <w:pStyle w:val="TableContents"/>
              <w:bidi w:val="0"/>
              <w:spacing w:before="0" w:after="283"/>
              <w:jc w:val="left"/>
              <w:rPr/>
            </w:pPr>
            <w:r>
              <w:rPr/>
              <w:t> </w:t>
            </w:r>
          </w:p>
        </w:tc>
        <w:tc>
          <w:tcPr>
            <w:tcW w:w="440" w:type="dxa"/>
            <w:tcBorders>
              <w:bottom w:val="single" w:sz="6" w:space="0" w:color="A41F35"/>
            </w:tcBorders>
            <w:shd w:fill="EFECE8" w:val="clear"/>
            <w:tcMar>
              <w:bottom w:w="40" w:type="dxa"/>
            </w:tcMar>
            <w:vAlign w:val="center"/>
          </w:tcPr>
          <w:p>
            <w:pPr>
              <w:pStyle w:val="TableContents"/>
              <w:bidi w:val="0"/>
              <w:spacing w:before="0" w:after="283"/>
              <w:jc w:val="right"/>
              <w:rPr/>
            </w:pPr>
            <w:r>
              <w:rPr/>
              <w:t>43  </w:t>
            </w:r>
          </w:p>
        </w:tc>
        <w:tc>
          <w:tcPr>
            <w:tcW w:w="60" w:type="dxa"/>
            <w:tcBorders>
              <w:bottom w:val="single" w:sz="6" w:space="0" w:color="A41F35"/>
            </w:tcBorders>
            <w:shd w:fill="EFECE8" w:val="clear"/>
            <w:tcMar>
              <w:bottom w:w="40" w:type="dxa"/>
            </w:tcMar>
            <w:vAlign w:val="center"/>
          </w:tcPr>
          <w:p>
            <w:pPr>
              <w:pStyle w:val="TableContents"/>
              <w:bidi w:val="0"/>
              <w:spacing w:before="0" w:after="283"/>
              <w:jc w:val="left"/>
              <w:rPr/>
            </w:pPr>
            <w:r>
              <w:rPr/>
              <w:t> </w:t>
            </w:r>
          </w:p>
        </w:tc>
        <w:tc>
          <w:tcPr>
            <w:tcW w:w="120" w:type="dxa"/>
            <w:tcBorders>
              <w:bottom w:val="single" w:sz="6" w:space="0" w:color="A41F35"/>
            </w:tcBorders>
            <w:shd w:fill="EFECE8" w:val="clear"/>
            <w:tcMar>
              <w:bottom w:w="28" w:type="dxa"/>
            </w:tcMar>
            <w:vAlign w:val="center"/>
          </w:tcPr>
          <w:p>
            <w:pPr>
              <w:pStyle w:val="TableContents"/>
              <w:bidi w:val="0"/>
              <w:spacing w:before="0" w:after="283"/>
              <w:jc w:val="left"/>
              <w:rPr/>
            </w:pPr>
            <w:r>
              <w:rPr/>
              <w:t>  </w:t>
            </w:r>
          </w:p>
        </w:tc>
        <w:tc>
          <w:tcPr>
            <w:tcW w:w="6155" w:type="dxa"/>
            <w:tcBorders>
              <w:bottom w:val="single" w:sz="6" w:space="0" w:color="A41F35"/>
            </w:tcBorders>
            <w:shd w:fill="EFECE8" w:val="clear"/>
            <w:tcMar>
              <w:bottom w:w="40" w:type="dxa"/>
            </w:tcMar>
            <w:vAlign w:val="center"/>
          </w:tcPr>
          <w:p>
            <w:pPr>
              <w:pStyle w:val="TableContents"/>
              <w:bidi w:val="0"/>
              <w:spacing w:before="0" w:after="283"/>
              <w:jc w:val="left"/>
              <w:rPr/>
            </w:pPr>
            <w:r>
              <w:rPr/>
              <w:t>Senior Vice President of Supply Chain and Operations</w:t>
            </w:r>
          </w:p>
        </w:tc>
      </w:tr>
    </w:tbl>
    <w:p>
      <w:pPr>
        <w:pStyle w:val="TextBody"/>
        <w:bidi w:val="0"/>
        <w:spacing w:before="360" w:after="0"/>
        <w:jc w:val="left"/>
        <w:rPr>
          <w:rFonts w:ascii="arial" w:hAnsi="arial"/>
          <w:b/>
          <w:color w:val="A41F35"/>
          <w:sz w:val="28"/>
        </w:rPr>
      </w:pPr>
      <w:r>
        <w:rPr>
          <w:rFonts w:ascii="arial" w:hAnsi="arial"/>
          <w:b/>
          <w:color w:val="A41F35"/>
          <w:sz w:val="28"/>
        </w:rPr>
        <w:t xml:space="preserve">Executive Officers </w:t>
      </w:r>
    </w:p>
    <w:p>
      <w:pPr>
        <w:pStyle w:val="TextBody"/>
        <w:bidi w:val="0"/>
        <w:spacing w:before="120" w:after="0"/>
        <w:jc w:val="left"/>
        <w:rPr>
          <w:rFonts w:ascii="arial" w:hAnsi="arial"/>
          <w:sz w:val="18"/>
        </w:rPr>
      </w:pPr>
      <w:r>
        <w:rPr>
          <w:rFonts w:ascii="arial" w:hAnsi="arial"/>
          <w:sz w:val="18"/>
        </w:rPr>
        <w:t xml:space="preserve">The background of Waleed H. Hassanein, M.D. is described above under “Proposal 1 — Election of Directors.” </w:t>
      </w:r>
    </w:p>
    <w:p>
      <w:pPr>
        <w:pStyle w:val="TextBody"/>
        <w:bidi w:val="0"/>
        <w:spacing w:before="160" w:after="0"/>
        <w:jc w:val="left"/>
        <w:rPr>
          <w:rFonts w:ascii="arial" w:hAnsi="arial"/>
          <w:sz w:val="18"/>
        </w:rPr>
      </w:pPr>
      <w:r>
        <w:rPr>
          <w:rFonts w:ascii="arial" w:hAnsi="arial"/>
          <w:i/>
          <w:sz w:val="18"/>
        </w:rPr>
        <w:t>Tamer Khayal, M.D.</w:t>
      </w:r>
      <w:r>
        <w:rPr>
          <w:rFonts w:ascii="arial" w:hAnsi="arial"/>
          <w:sz w:val="18"/>
        </w:rPr>
        <w:t xml:space="preserve">, age 56, has served as our Chief Commercial Officer since January 2018. He served as our Chief Medical Officer and Vice President of Clinical Development from 2006 to 2017 and as our Director of Clinical Development from 2001 to 2006. Prior to joining TransMedics, Dr. Khayal served for six years as Director of Clinical Affairs for Zentiva Group, a.s., a pharmaceutical company, where he led clinical research, regulatory filings and clinical sales training for the company’s Middle East and Africa operations. Prior to his employment in the pharmaceutical industry, Dr. Khayal was a practicing physician. Dr. Khayal received a General Certificate of Education from the University of London and a M.D. degree from Cairo University School of Medicine. </w:t>
      </w:r>
    </w:p>
    <w:p>
      <w:pPr>
        <w:pStyle w:val="TextBody"/>
        <w:bidi w:val="0"/>
        <w:spacing w:before="160" w:after="0"/>
        <w:jc w:val="left"/>
        <w:rPr>
          <w:rFonts w:ascii="arial" w:hAnsi="arial"/>
          <w:sz w:val="18"/>
        </w:rPr>
      </w:pPr>
      <w:r>
        <w:rPr>
          <w:rFonts w:ascii="arial" w:hAnsi="arial"/>
          <w:i/>
          <w:sz w:val="18"/>
        </w:rPr>
        <w:t xml:space="preserve">Gerardo Hernandez, </w:t>
      </w:r>
      <w:r>
        <w:rPr>
          <w:rFonts w:ascii="arial" w:hAnsi="arial"/>
          <w:sz w:val="18"/>
        </w:rPr>
        <w:t xml:space="preserve">age 54, has served as our Chief Financial Officer and Treasurer since December 2024. Prior to joining TransMedics, Mr. Hernandez served as Vice President Finance, Head of Corporate Financial Planning and Analysis at Alnylam Pharmaceuticals from 2020 to 2024 where he supported the company through its transformation from a U.S. clinical-stage organization to a global commercial enterprise. He led its global performance analysis and its financial planning processes. Before joining Alnylam, Mr. Hernandez served as Head of Corporate Financial Planning &amp; Analysis Integration of Takeda Pharmaceuticals Co Ltd from January 2019 until January 2020. Prior to that, he held various roles at Shire plc, including Head of Corporate Financial Planning &amp; Analysis from December 2010 until its acquisition by Takeda in January 2019. Mr. Hernandez held roles in the finance organization of Unilever plc from September 1994 until June 2010. Mr. Hernandez received a Bachelor of Science Degree in Finance from the University of Wisconsin, La Crosse and an MBA in Strategy and Economics from Fundação Getulio Vargas, Sao Paulo, Brazil. </w:t>
      </w:r>
    </w:p>
    <w:p>
      <w:pPr>
        <w:pStyle w:val="TextBody"/>
        <w:bidi w:val="0"/>
        <w:spacing w:before="160" w:after="0"/>
        <w:jc w:val="left"/>
        <w:rPr>
          <w:rFonts w:ascii="arial" w:hAnsi="arial"/>
          <w:sz w:val="18"/>
        </w:rPr>
      </w:pPr>
      <w:r>
        <w:rPr>
          <w:rFonts w:ascii="arial" w:hAnsi="arial"/>
          <w:i/>
          <w:sz w:val="18"/>
        </w:rPr>
        <w:t>Anil Ranganath</w:t>
      </w:r>
      <w:r>
        <w:rPr>
          <w:rFonts w:ascii="arial" w:hAnsi="arial"/>
          <w:sz w:val="18"/>
        </w:rPr>
        <w:t xml:space="preserve">, age 44, has served as our Senior Vice President, General Counsel, and Corporate Secretary since June 2023. Prior to joining TransMedics, Mr. Ranganath held multiple roles of increasing scope and responsibility at Waters Corporation from 2010 to 2023. Most recently, Mr. Ranganath served as Vice President, Deputy General Counsel, managing legal affairs and serving as a trusted advisor on Waters’ strategic, tactical, and operational plans. Prior to Waters, Mr. Ranganath served as an attorney at Brown Rudnick, LLP, representing life sciences and biotechnology companies on corporate and intellectual property matters. Mr. Ranganath received a Bachelor’s Degree in Computer Science from Worcester Polytechnic Institute and a Juris Doctorate from Suffolk University Law School. </w:t>
      </w:r>
    </w:p>
    <w:p>
      <w:pPr>
        <w:pStyle w:val="TextBody"/>
        <w:bidi w:val="0"/>
        <w:spacing w:before="160" w:after="0"/>
        <w:jc w:val="left"/>
        <w:rPr>
          <w:rFonts w:ascii="arial" w:hAnsi="arial"/>
          <w:sz w:val="18"/>
        </w:rPr>
      </w:pPr>
      <w:r>
        <w:rPr>
          <w:rFonts w:ascii="arial" w:hAnsi="arial"/>
          <w:i/>
          <w:sz w:val="18"/>
        </w:rPr>
        <w:t>Nicholas Corcoran,</w:t>
      </w:r>
      <w:r>
        <w:rPr>
          <w:rFonts w:ascii="arial" w:hAnsi="arial"/>
          <w:sz w:val="18"/>
        </w:rPr>
        <w:t xml:space="preserve"> age 43, has served as our Senior Vice President of Supply Chain and Operations since January 2023. Prior to joining TransMedics, Mr. Corcoran served as Vice President of Division Operations (Joint Replacement) at Stryker Corporation since April 2022, managing the division’s entire supply chain, including internal manufacturing sites and external supply partners, and as Vice President of Division and Commercial Operations (Spine) from 2020 until 2022, Senior Director of Division Operations from 2018 until 2020, and previously as Director of Global Sourcing. Prior to Stryker, Mr. Corcoran also held a variety of supply chain and operations roles at Waters Corporation and Intel Corporation. Mr. Corcoran received a Bachelor’s Degree in Finance and Economics from South East Technological University and a Master’s of Business in Supply Chain Management from The Smurfit School of Business, University College Dublin.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52</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29" w:name="toc803709_26"/>
      <w:bookmarkEnd w:id="29"/>
      <w:r>
        <w:rPr>
          <w:rFonts w:ascii="arial" w:hAnsi="arial"/>
          <w:b/>
          <w:color w:val="A41F35"/>
          <w:sz w:val="56"/>
        </w:rPr>
        <w:t xml:space="preserve">Proposal 3 </w:t>
      </w:r>
    </w:p>
    <w:p>
      <w:pPr>
        <w:pStyle w:val="TextBody"/>
        <w:bidi w:val="0"/>
        <w:spacing w:before="0" w:after="0"/>
        <w:jc w:val="left"/>
        <w:rPr>
          <w:rFonts w:ascii="arial" w:hAnsi="arial"/>
          <w:sz w:val="56"/>
        </w:rPr>
      </w:pPr>
      <w:r>
        <w:rPr>
          <w:rFonts w:ascii="arial" w:hAnsi="arial"/>
          <w:sz w:val="56"/>
        </w:rPr>
        <w:t>Ratification of the Appointment of Independent Registered Public Accounting Firm</w:t>
      </w:r>
      <w:r>
        <w:rPr>
          <w:rFonts w:ascii="arial" w:hAnsi="arial"/>
          <w:color w:val="A41F35"/>
          <w:sz w:val="56"/>
        </w:rPr>
        <w:t xml:space="preserve"> </w:t>
      </w:r>
    </w:p>
    <w:p>
      <w:pPr>
        <w:pStyle w:val="TextBody"/>
        <w:bidi w:val="0"/>
        <w:spacing w:before="480" w:after="0"/>
        <w:jc w:val="left"/>
        <w:rPr>
          <w:rFonts w:ascii="arial" w:hAnsi="arial"/>
          <w:sz w:val="18"/>
        </w:rPr>
      </w:pPr>
      <w:r>
        <w:rPr>
          <w:rFonts w:ascii="arial" w:hAnsi="arial"/>
          <w:sz w:val="18"/>
        </w:rPr>
        <w:t xml:space="preserve">In accordance with its charter, the Audit Committee of our Board has selected the firm of PricewaterhouseCoopers LLP, an independent registered public accounting firm, to be the Company’s independent registered public accounting firm for the fiscal year ending December 31, 2025, and our Board is asking shareholders (on a non-binding advisory basis) to ratify that appointment. We are not required to have the shareholders ratify the appointment of PricewaterhouseCoopers LLP as our independent registered public accounting firm. We nonetheless are doing so because we believe it is a matter of good corporate practice. If the shareholders do not ratify the appointment, the Audit Committee will reconsider the retention of PricewaterhouseCoopers LLP, but ultimately may decide to retain PricewaterhouseCoopers LLP as the Company’s independent registered public accounting firm. Even if the appointment is ratified, the Audit Committee, in its discretion, may change the appointment at any time if it determines that such a change would be in the best interests of the Company and its shareholders. </w:t>
      </w:r>
    </w:p>
    <w:p>
      <w:pPr>
        <w:pStyle w:val="TextBody"/>
        <w:bidi w:val="0"/>
        <w:spacing w:before="160" w:after="0"/>
        <w:jc w:val="left"/>
        <w:rPr>
          <w:rFonts w:ascii="arial" w:hAnsi="arial"/>
          <w:sz w:val="18"/>
        </w:rPr>
      </w:pPr>
      <w:r>
        <w:rPr>
          <w:rFonts w:ascii="arial" w:hAnsi="arial"/>
          <w:sz w:val="18"/>
        </w:rPr>
        <w:t xml:space="preserve">Before selecting PricewaterhouseCoopers LLP, the Audit Committee carefully considered that firm’s qualifications as an independent registered public accounting firm for the Company. This included a review of its performance in prior years, including the firm’s efficiency, integrity and competence in the fields of accounting and auditing. The Audit Committee has expressed its satisfaction with PricewaterhouseCoopers LLP in all of these respects. </w:t>
      </w:r>
    </w:p>
    <w:p>
      <w:pPr>
        <w:pStyle w:val="TextBody"/>
        <w:bidi w:val="0"/>
        <w:spacing w:before="160" w:after="0"/>
        <w:jc w:val="left"/>
        <w:rPr>
          <w:rFonts w:ascii="arial" w:hAnsi="arial"/>
          <w:sz w:val="18"/>
        </w:rPr>
      </w:pPr>
      <w:r>
        <w:rPr>
          <w:rFonts w:ascii="arial" w:hAnsi="arial"/>
          <w:sz w:val="18"/>
        </w:rPr>
        <w:t xml:space="preserve">PricewaterhouseCoopers LLP served as independent registered public accounting firm for the Company with respect to the audit of the Company’s consolidated financial statements for 2024 and has been engaged by the Company’s Audit Committee to serve as independent registered public accounting firm for the Company with respect to the audit of the Company’s consolidated financial statements for 2025. Representatives of PricewaterhouseCoopers LLP will be present at the Annual Meeting, will have the opportunity to make a statement if they desire to do so and will be available to respond to appropriate questions. </w:t>
      </w:r>
    </w:p>
    <w:p>
      <w:pPr>
        <w:pStyle w:val="TextBody"/>
        <w:bidi w:val="0"/>
        <w:spacing w:before="360" w:after="0"/>
        <w:jc w:val="left"/>
        <w:rPr>
          <w:rFonts w:ascii="arial" w:hAnsi="arial"/>
          <w:b/>
          <w:color w:val="A41F35"/>
          <w:sz w:val="28"/>
        </w:rPr>
      </w:pPr>
      <w:r>
        <w:rPr>
          <w:rFonts w:ascii="arial" w:hAnsi="arial"/>
          <w:b/>
          <w:color w:val="A41F35"/>
          <w:sz w:val="28"/>
        </w:rPr>
        <w:t xml:space="preserve">Audit Fees and Services </w:t>
      </w:r>
    </w:p>
    <w:p>
      <w:pPr>
        <w:pStyle w:val="TextBody"/>
        <w:bidi w:val="0"/>
        <w:spacing w:before="120" w:after="0"/>
        <w:jc w:val="left"/>
        <w:rPr>
          <w:rFonts w:ascii="arial" w:hAnsi="arial"/>
          <w:sz w:val="18"/>
        </w:rPr>
      </w:pPr>
      <w:r>
        <w:rPr>
          <w:rFonts w:ascii="arial" w:hAnsi="arial"/>
          <w:sz w:val="18"/>
        </w:rPr>
        <w:t xml:space="preserve">Audit and other fees billed to us by PricewaterhouseCoopers LLP for the fiscal years ended December 31, 2024 and December 31, 2023 are as follows: </w:t>
      </w:r>
    </w:p>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610"/>
        <w:gridCol w:w="120"/>
        <w:gridCol w:w="140"/>
        <w:gridCol w:w="980"/>
        <w:gridCol w:w="60"/>
        <w:gridCol w:w="120"/>
        <w:gridCol w:w="140"/>
        <w:gridCol w:w="98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16" w:space="0" w:color="A41F35"/>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A41F35"/>
            </w:tcBorders>
            <w:tcMar>
              <w:bottom w:w="40" w:type="dxa"/>
            </w:tcMar>
            <w:vAlign w:val="center"/>
          </w:tcPr>
          <w:p>
            <w:pPr>
              <w:pStyle w:val="TableContents"/>
              <w:bidi w:val="0"/>
              <w:spacing w:before="0" w:after="283"/>
              <w:jc w:val="center"/>
              <w:rPr>
                <w:b/>
              </w:rPr>
            </w:pPr>
            <w:r>
              <w:rPr>
                <w:b/>
              </w:rPr>
              <w:t>2024</w:t>
            </w:r>
          </w:p>
        </w:tc>
        <w:tc>
          <w:tcPr>
            <w:tcW w:w="60" w:type="dxa"/>
            <w:tcBorders>
              <w:bottom w:val="single" w:sz="16" w:space="0" w:color="A41F35"/>
            </w:tcBorders>
            <w:tcMar>
              <w:bottom w:w="28" w:type="dxa"/>
            </w:tcMar>
            <w:vAlign w:val="center"/>
          </w:tcPr>
          <w:p>
            <w:pPr>
              <w:pStyle w:val="TableContents"/>
              <w:bidi w:val="0"/>
              <w:spacing w:before="0" w:after="283"/>
              <w:jc w:val="left"/>
              <w:rPr/>
            </w:pPr>
            <w:r>
              <w:rPr/>
              <w:t> </w:t>
            </w:r>
          </w:p>
        </w:tc>
        <w:tc>
          <w:tcPr>
            <w:tcW w:w="120" w:type="dxa"/>
            <w:tcBorders>
              <w:bottom w:val="single" w:sz="16" w:space="0" w:color="A41F35"/>
            </w:tcBorders>
            <w:tcMar>
              <w:bottom w:w="28" w:type="dxa"/>
            </w:tcMar>
            <w:vAlign w:val="center"/>
          </w:tcPr>
          <w:p>
            <w:pPr>
              <w:pStyle w:val="TableContents"/>
              <w:bidi w:val="0"/>
              <w:spacing w:before="0" w:after="283"/>
              <w:jc w:val="left"/>
              <w:rPr/>
            </w:pPr>
            <w:r>
              <w:rPr/>
              <w:t>  </w:t>
            </w:r>
          </w:p>
        </w:tc>
        <w:tc>
          <w:tcPr>
            <w:tcW w:w="1120" w:type="dxa"/>
            <w:gridSpan w:val="2"/>
            <w:tcBorders>
              <w:bottom w:val="single" w:sz="16" w:space="0" w:color="A41F35"/>
            </w:tcBorders>
            <w:tcMar>
              <w:bottom w:w="40" w:type="dxa"/>
            </w:tcMar>
            <w:vAlign w:val="center"/>
          </w:tcPr>
          <w:p>
            <w:pPr>
              <w:pStyle w:val="TableContents"/>
              <w:bidi w:val="0"/>
              <w:spacing w:before="0" w:after="283"/>
              <w:jc w:val="center"/>
              <w:rPr>
                <w:b/>
              </w:rPr>
            </w:pPr>
            <w:r>
              <w:rPr>
                <w:b/>
              </w:rPr>
              <w:t>2023</w:t>
            </w:r>
          </w:p>
        </w:tc>
        <w:tc>
          <w:tcPr>
            <w:tcW w:w="75" w:type="dxa"/>
            <w:tcBorders>
              <w:bottom w:val="single" w:sz="16" w:space="0" w:color="A41F35"/>
            </w:tcBorders>
            <w:tcMar>
              <w:bottom w:w="28" w:type="dxa"/>
            </w:tcMar>
            <w:vAlign w:val="center"/>
          </w:tcPr>
          <w:p>
            <w:pPr>
              <w:pStyle w:val="TableContents"/>
              <w:bidi w:val="0"/>
              <w:spacing w:before="0" w:after="283"/>
              <w:jc w:val="left"/>
              <w:rPr/>
            </w:pPr>
            <w:r>
              <w:rPr/>
              <w:t> </w:t>
            </w:r>
          </w:p>
        </w:tc>
      </w:tr>
      <w:tr>
        <w:trPr/>
        <w:tc>
          <w:tcPr>
            <w:tcW w:w="1610" w:type="dxa"/>
            <w:tcBorders/>
            <w:shd w:fill="EFECE8" w:val="clear"/>
            <w:vAlign w:val="center"/>
          </w:tcPr>
          <w:p>
            <w:pPr>
              <w:pStyle w:val="TableContents"/>
              <w:bidi w:val="0"/>
              <w:spacing w:before="0" w:after="283"/>
              <w:jc w:val="left"/>
              <w:rPr>
                <w:sz w:val="4"/>
                <w:szCs w:val="4"/>
              </w:rPr>
            </w:pPr>
            <w:r>
              <w:rPr>
                <w:sz w:val="4"/>
                <w:szCs w:val="4"/>
              </w:rPr>
            </w:r>
          </w:p>
        </w:tc>
        <w:tc>
          <w:tcPr>
            <w:tcW w:w="1300" w:type="dxa"/>
            <w:gridSpan w:val="4"/>
            <w:tcBorders/>
            <w:shd w:fill="EFECE8" w:val="clear"/>
            <w:vAlign w:val="center"/>
          </w:tcPr>
          <w:p>
            <w:pPr>
              <w:pStyle w:val="TableContents"/>
              <w:bidi w:val="0"/>
              <w:spacing w:before="0" w:after="283"/>
              <w:jc w:val="left"/>
              <w:rPr>
                <w:sz w:val="4"/>
                <w:szCs w:val="4"/>
              </w:rPr>
            </w:pPr>
            <w:r>
              <w:rPr>
                <w:sz w:val="4"/>
                <w:szCs w:val="4"/>
              </w:rPr>
            </w:r>
          </w:p>
        </w:tc>
        <w:tc>
          <w:tcPr>
            <w:tcW w:w="131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1610" w:type="dxa"/>
            <w:tcBorders/>
            <w:shd w:fill="EFECE8" w:val="clear"/>
            <w:vAlign w:val="center"/>
          </w:tcPr>
          <w:p>
            <w:pPr>
              <w:pStyle w:val="TableContents"/>
              <w:bidi w:val="0"/>
              <w:spacing w:before="0" w:after="0"/>
              <w:jc w:val="left"/>
              <w:rPr>
                <w:rFonts w:ascii="arial" w:hAnsi="arial"/>
                <w:sz w:val="18"/>
              </w:rPr>
            </w:pPr>
            <w:r>
              <w:rPr>
                <w:rFonts w:ascii="arial" w:hAnsi="arial"/>
                <w:sz w:val="18"/>
              </w:rPr>
              <w:t>Audit Fees</w:t>
            </w:r>
          </w:p>
        </w:tc>
        <w:tc>
          <w:tcPr>
            <w:tcW w:w="12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w:t>
            </w:r>
          </w:p>
        </w:tc>
        <w:tc>
          <w:tcPr>
            <w:tcW w:w="980" w:type="dxa"/>
            <w:tcBorders/>
            <w:shd w:fill="EFECE8" w:val="clear"/>
            <w:vAlign w:val="center"/>
          </w:tcPr>
          <w:p>
            <w:pPr>
              <w:pStyle w:val="TableContents"/>
              <w:bidi w:val="0"/>
              <w:spacing w:before="0" w:after="283"/>
              <w:jc w:val="right"/>
              <w:rPr/>
            </w:pPr>
            <w:r>
              <w:rPr/>
              <w:t>2,280,000</w:t>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w:t>
            </w:r>
          </w:p>
        </w:tc>
        <w:tc>
          <w:tcPr>
            <w:tcW w:w="980" w:type="dxa"/>
            <w:tcBorders/>
            <w:shd w:fill="EFECE8" w:val="clear"/>
            <w:vAlign w:val="center"/>
          </w:tcPr>
          <w:p>
            <w:pPr>
              <w:pStyle w:val="TableContents"/>
              <w:bidi w:val="0"/>
              <w:spacing w:before="0" w:after="283"/>
              <w:jc w:val="right"/>
              <w:rPr/>
            </w:pPr>
            <w:r>
              <w:rPr/>
              <w:t>2,165,500</w:t>
            </w:r>
          </w:p>
        </w:tc>
        <w:tc>
          <w:tcPr>
            <w:tcW w:w="75" w:type="dxa"/>
            <w:tcBorders/>
            <w:shd w:fill="EFEC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10" w:type="dxa"/>
            <w:tcBorders/>
            <w:shd w:fill="EFECE8" w:val="clear"/>
            <w:vAlign w:val="center"/>
          </w:tcPr>
          <w:p>
            <w:pPr>
              <w:pStyle w:val="TableContents"/>
              <w:bidi w:val="0"/>
              <w:spacing w:before="0" w:after="283"/>
              <w:jc w:val="left"/>
              <w:rPr>
                <w:sz w:val="4"/>
                <w:szCs w:val="4"/>
              </w:rPr>
            </w:pPr>
            <w:r>
              <w:rPr>
                <w:sz w:val="4"/>
                <w:szCs w:val="4"/>
              </w:rPr>
            </w:r>
          </w:p>
        </w:tc>
        <w:tc>
          <w:tcPr>
            <w:tcW w:w="1300" w:type="dxa"/>
            <w:gridSpan w:val="4"/>
            <w:tcBorders/>
            <w:shd w:fill="EFECE8" w:val="clear"/>
            <w:vAlign w:val="center"/>
          </w:tcPr>
          <w:p>
            <w:pPr>
              <w:pStyle w:val="TableContents"/>
              <w:bidi w:val="0"/>
              <w:spacing w:before="0" w:after="283"/>
              <w:jc w:val="left"/>
              <w:rPr>
                <w:sz w:val="4"/>
                <w:szCs w:val="4"/>
              </w:rPr>
            </w:pPr>
            <w:r>
              <w:rPr>
                <w:sz w:val="4"/>
                <w:szCs w:val="4"/>
              </w:rPr>
            </w:r>
          </w:p>
        </w:tc>
        <w:tc>
          <w:tcPr>
            <w:tcW w:w="131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1610" w:type="dxa"/>
            <w:tcBorders/>
            <w:shd w:fill="EFECE8" w:val="cle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60" w:type="dxa"/>
            <w:tcBorders/>
            <w:shd w:fill="EFECE8" w:val="clear"/>
            <w:vAlign w:val="center"/>
          </w:tcPr>
          <w:p>
            <w:pPr>
              <w:pStyle w:val="TableContents"/>
              <w:bidi w:val="0"/>
              <w:spacing w:before="0" w:after="283"/>
              <w:jc w:val="left"/>
              <w:rPr/>
            </w:pPr>
            <w:r>
              <w:rPr/>
              <w:t> </w:t>
            </w:r>
          </w:p>
        </w:tc>
        <w:tc>
          <w:tcPr>
            <w:tcW w:w="120" w:type="dxa"/>
            <w:tcBorders/>
            <w:shd w:fill="EFECE8" w:val="clear"/>
            <w:vAlign w:val="center"/>
          </w:tcPr>
          <w:p>
            <w:pPr>
              <w:pStyle w:val="TableContents"/>
              <w:bidi w:val="0"/>
              <w:spacing w:before="0" w:after="283"/>
              <w:jc w:val="left"/>
              <w:rPr/>
            </w:pPr>
            <w:r>
              <w:rPr/>
              <w:t>  </w:t>
            </w:r>
          </w:p>
        </w:tc>
        <w:tc>
          <w:tcPr>
            <w:tcW w:w="140" w:type="dxa"/>
            <w:tcBorders/>
            <w:shd w:fill="EFECE8" w:val="clear"/>
            <w:vAlign w:val="center"/>
          </w:tcPr>
          <w:p>
            <w:pPr>
              <w:pStyle w:val="TableContents"/>
              <w:bidi w:val="0"/>
              <w:spacing w:before="0" w:after="283"/>
              <w:jc w:val="left"/>
              <w:rPr/>
            </w:pPr>
            <w:r>
              <w:rPr/>
              <w:t> </w:t>
            </w:r>
          </w:p>
        </w:tc>
        <w:tc>
          <w:tcPr>
            <w:tcW w:w="980" w:type="dxa"/>
            <w:tcBorders/>
            <w:shd w:fill="EFECE8" w:val="clear"/>
            <w:vAlign w:val="center"/>
          </w:tcPr>
          <w:p>
            <w:pPr>
              <w:pStyle w:val="TableContents"/>
              <w:bidi w:val="0"/>
              <w:spacing w:before="0" w:after="283"/>
              <w:jc w:val="right"/>
              <w:rPr/>
            </w:pPr>
            <w:r>
              <w:rPr/>
              <w:t>—</w:t>
            </w:r>
          </w:p>
        </w:tc>
        <w:tc>
          <w:tcPr>
            <w:tcW w:w="75" w:type="dxa"/>
            <w:tcBorders/>
            <w:shd w:fill="EFECE8"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300" w:type="dxa"/>
            <w:gridSpan w:val="4"/>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956</w:t>
            </w:r>
          </w:p>
        </w:tc>
        <w:tc>
          <w:tcPr>
            <w:tcW w:w="75" w:type="dxa"/>
            <w:tcBorders/>
            <w:vAlign w:val="center"/>
          </w:tcPr>
          <w:p>
            <w:pPr>
              <w:pStyle w:val="TableContents"/>
              <w:bidi w:val="0"/>
              <w:spacing w:before="0" w:after="283"/>
              <w:jc w:val="left"/>
              <w:rPr/>
            </w:pPr>
            <w:r>
              <w:rPr/>
              <w:t> </w:t>
            </w:r>
          </w:p>
        </w:tc>
      </w:tr>
      <w:tr>
        <w:trPr/>
        <w:tc>
          <w:tcPr>
            <w:tcW w:w="1610" w:type="dxa"/>
            <w:tcBorders/>
            <w:shd w:fill="EFECE8" w:val="clear"/>
            <w:vAlign w:val="center"/>
          </w:tcPr>
          <w:p>
            <w:pPr>
              <w:pStyle w:val="TableContents"/>
              <w:bidi w:val="0"/>
              <w:spacing w:before="0" w:after="283"/>
              <w:jc w:val="left"/>
              <w:rPr>
                <w:sz w:val="4"/>
                <w:szCs w:val="4"/>
              </w:rPr>
            </w:pPr>
            <w:r>
              <w:rPr>
                <w:sz w:val="4"/>
                <w:szCs w:val="4"/>
              </w:rPr>
            </w:r>
          </w:p>
        </w:tc>
        <w:tc>
          <w:tcPr>
            <w:tcW w:w="1300" w:type="dxa"/>
            <w:gridSpan w:val="4"/>
            <w:tcBorders/>
            <w:shd w:fill="EFECE8" w:val="clear"/>
            <w:vAlign w:val="center"/>
          </w:tcPr>
          <w:p>
            <w:pPr>
              <w:pStyle w:val="TableContents"/>
              <w:bidi w:val="0"/>
              <w:spacing w:before="0" w:after="283"/>
              <w:jc w:val="left"/>
              <w:rPr>
                <w:sz w:val="4"/>
                <w:szCs w:val="4"/>
              </w:rPr>
            </w:pPr>
            <w:r>
              <w:rPr>
                <w:sz w:val="4"/>
                <w:szCs w:val="4"/>
              </w:rPr>
            </w:r>
          </w:p>
        </w:tc>
        <w:tc>
          <w:tcPr>
            <w:tcW w:w="1315" w:type="dxa"/>
            <w:gridSpan w:val="4"/>
            <w:tcBorders/>
            <w:shd w:fill="EFECE8" w:val="clear"/>
            <w:vAlign w:val="center"/>
          </w:tcPr>
          <w:p>
            <w:pPr>
              <w:pStyle w:val="TableContents"/>
              <w:bidi w:val="0"/>
              <w:spacing w:before="0" w:after="283"/>
              <w:jc w:val="left"/>
              <w:rPr>
                <w:sz w:val="4"/>
                <w:szCs w:val="4"/>
              </w:rPr>
            </w:pPr>
            <w:r>
              <w:rPr>
                <w:sz w:val="4"/>
                <w:szCs w:val="4"/>
              </w:rPr>
            </w:r>
          </w:p>
        </w:tc>
      </w:tr>
      <w:tr>
        <w:trPr/>
        <w:tc>
          <w:tcPr>
            <w:tcW w:w="1610" w:type="dxa"/>
            <w:tcBorders>
              <w:bottom w:val="single" w:sz="8" w:space="0" w:color="A41F35"/>
            </w:tcBorders>
            <w:shd w:fill="EFECE8" w:val="clear"/>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40"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980" w:type="dxa"/>
            <w:tcBorders>
              <w:bottom w:val="single" w:sz="8" w:space="0" w:color="A41F35"/>
            </w:tcBorders>
            <w:shd w:fill="EFECE8" w:val="clear"/>
            <w:tcMar>
              <w:bottom w:w="40" w:type="dxa"/>
            </w:tcMar>
            <w:vAlign w:val="center"/>
          </w:tcPr>
          <w:p>
            <w:pPr>
              <w:pStyle w:val="TableContents"/>
              <w:bidi w:val="0"/>
              <w:spacing w:before="0" w:after="283"/>
              <w:jc w:val="right"/>
              <w:rPr/>
            </w:pPr>
            <w:r>
              <w:rPr/>
              <w:t>2,282,125</w:t>
            </w:r>
          </w:p>
        </w:tc>
        <w:tc>
          <w:tcPr>
            <w:tcW w:w="60"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c>
          <w:tcPr>
            <w:tcW w:w="120" w:type="dxa"/>
            <w:tcBorders>
              <w:bottom w:val="single" w:sz="8" w:space="0" w:color="A41F35"/>
            </w:tcBorders>
            <w:shd w:fill="EFECE8" w:val="clear"/>
            <w:tcMar>
              <w:bottom w:w="28" w:type="dxa"/>
            </w:tcMar>
            <w:vAlign w:val="center"/>
          </w:tcPr>
          <w:p>
            <w:pPr>
              <w:pStyle w:val="TableContents"/>
              <w:bidi w:val="0"/>
              <w:spacing w:before="0" w:after="283"/>
              <w:jc w:val="left"/>
              <w:rPr/>
            </w:pPr>
            <w:r>
              <w:rPr/>
              <w:t>  </w:t>
            </w:r>
          </w:p>
        </w:tc>
        <w:tc>
          <w:tcPr>
            <w:tcW w:w="140" w:type="dxa"/>
            <w:tcBorders>
              <w:bottom w:val="single" w:sz="8" w:space="0" w:color="A41F35"/>
            </w:tcBorders>
            <w:shd w:fill="EFECE8" w:val="clear"/>
            <w:tcMar>
              <w:bottom w:w="40" w:type="dxa"/>
            </w:tcMar>
            <w:vAlign w:val="center"/>
          </w:tcPr>
          <w:p>
            <w:pPr>
              <w:pStyle w:val="TableContents"/>
              <w:bidi w:val="0"/>
              <w:spacing w:before="0" w:after="283"/>
              <w:jc w:val="left"/>
              <w:rPr/>
            </w:pPr>
            <w:r>
              <w:rPr/>
              <w:t>$</w:t>
            </w:r>
          </w:p>
        </w:tc>
        <w:tc>
          <w:tcPr>
            <w:tcW w:w="980" w:type="dxa"/>
            <w:tcBorders>
              <w:bottom w:val="single" w:sz="8" w:space="0" w:color="A41F35"/>
            </w:tcBorders>
            <w:shd w:fill="EFECE8" w:val="clear"/>
            <w:tcMar>
              <w:bottom w:w="40" w:type="dxa"/>
            </w:tcMar>
            <w:vAlign w:val="center"/>
          </w:tcPr>
          <w:p>
            <w:pPr>
              <w:pStyle w:val="TableContents"/>
              <w:bidi w:val="0"/>
              <w:spacing w:before="0" w:after="283"/>
              <w:jc w:val="right"/>
              <w:rPr/>
            </w:pPr>
            <w:r>
              <w:rPr/>
              <w:t>2,165,956</w:t>
            </w:r>
          </w:p>
        </w:tc>
        <w:tc>
          <w:tcPr>
            <w:tcW w:w="75" w:type="dxa"/>
            <w:tcBorders>
              <w:bottom w:val="single" w:sz="8" w:space="0" w:color="A41F35"/>
            </w:tcBorders>
            <w:shd w:fill="EFECE8" w:val="clear"/>
            <w:tcMar>
              <w:bottom w:w="40" w:type="dxa"/>
            </w:tcMar>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18"/>
        </w:rPr>
      </w:pPr>
      <w:r>
        <w:rPr>
          <w:rFonts w:ascii="arial" w:hAnsi="arial"/>
          <w:i/>
          <w:sz w:val="18"/>
        </w:rPr>
        <w:t>Audit Fees</w:t>
      </w:r>
      <w:r>
        <w:rPr>
          <w:rFonts w:ascii="arial" w:hAnsi="arial"/>
          <w:sz w:val="18"/>
        </w:rPr>
        <w:t xml:space="preserve">. Audit fees consist of fees billed for professional services performed by PricewaterhouseCoopers LLP for the audit of our annual financial statements, the review of interim financial statements and related services that are normally provided in connection with registration statements. Audit fees for 2024 include fees for professional services rendered in connection with an audit of our 2024 financial statements. Audit fees for 2023 include fees for professional services rendered in connection with an audit of our 2023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sz w:val="18"/>
        </w:rPr>
      </w:pPr>
      <w:r>
        <w:rPr>
          <w:rFonts w:ascii="arial" w:hAnsi="arial"/>
          <w:sz w:val="18"/>
        </w:rPr>
        <w:t xml:space="preserve">Proposal 3: Ratification of the Appointment of Independent Registered Public Accounting Firm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sz w:val="18"/>
        </w:rPr>
        <w:t>Audit-Related Fees</w:t>
      </w:r>
      <w:r>
        <w:rPr>
          <w:rFonts w:ascii="arial" w:hAnsi="arial"/>
          <w:sz w:val="18"/>
        </w:rPr>
        <w:t xml:space="preserve">. Audit-related fees may consist of fees billed by an independent registered public accounting firm for assurance and related services that are reasonably related to the performance of the audit or review of our consolidated financial statements. There were no such fees incurred in 2024 or 2023. </w:t>
      </w:r>
    </w:p>
    <w:p>
      <w:pPr>
        <w:pStyle w:val="TextBody"/>
        <w:bidi w:val="0"/>
        <w:spacing w:before="160" w:after="0"/>
        <w:jc w:val="left"/>
        <w:rPr>
          <w:rFonts w:ascii="arial" w:hAnsi="arial"/>
          <w:sz w:val="18"/>
        </w:rPr>
      </w:pPr>
      <w:r>
        <w:rPr>
          <w:rFonts w:ascii="arial" w:hAnsi="arial"/>
          <w:i/>
          <w:sz w:val="18"/>
        </w:rPr>
        <w:t>Tax Fees</w:t>
      </w:r>
      <w:r>
        <w:rPr>
          <w:rFonts w:ascii="arial" w:hAnsi="arial"/>
          <w:sz w:val="18"/>
        </w:rPr>
        <w:t xml:space="preserve">. Tax fees may consist of fees for professional services, including tax consulting and compliance performed by an independent registered public accounting firm. There were no such fees incurred in 2024 or 2023. </w:t>
      </w:r>
    </w:p>
    <w:p>
      <w:pPr>
        <w:pStyle w:val="TextBody"/>
        <w:bidi w:val="0"/>
        <w:spacing w:before="160" w:after="0"/>
        <w:jc w:val="left"/>
        <w:rPr>
          <w:rFonts w:ascii="arial" w:hAnsi="arial"/>
          <w:sz w:val="18"/>
        </w:rPr>
      </w:pPr>
      <w:r>
        <w:rPr>
          <w:rFonts w:ascii="arial" w:hAnsi="arial"/>
          <w:i/>
          <w:sz w:val="18"/>
        </w:rPr>
        <w:t>All Other Fees</w:t>
      </w:r>
      <w:r>
        <w:rPr>
          <w:rFonts w:ascii="arial" w:hAnsi="arial"/>
          <w:sz w:val="18"/>
        </w:rPr>
        <w:t xml:space="preserve">. All other fees consist of fees related to a subscription to online research and disclosure software. </w:t>
      </w:r>
    </w:p>
    <w:p>
      <w:pPr>
        <w:pStyle w:val="TextBody"/>
        <w:bidi w:val="0"/>
        <w:spacing w:before="360" w:after="0"/>
        <w:jc w:val="left"/>
        <w:rPr>
          <w:rFonts w:ascii="arial" w:hAnsi="arial"/>
          <w:b/>
          <w:color w:val="A41F35"/>
          <w:sz w:val="28"/>
        </w:rPr>
      </w:pPr>
      <w:r>
        <w:rPr>
          <w:rFonts w:ascii="arial" w:hAnsi="arial"/>
          <w:b/>
          <w:color w:val="A41F35"/>
          <w:sz w:val="28"/>
        </w:rPr>
        <w:t xml:space="preserve">Pre-Approval by Audit Committee of Principal Accountant Services. </w:t>
      </w:r>
    </w:p>
    <w:p>
      <w:pPr>
        <w:pStyle w:val="TextBody"/>
        <w:bidi w:val="0"/>
        <w:spacing w:before="120" w:after="0"/>
        <w:jc w:val="left"/>
        <w:rPr>
          <w:rFonts w:ascii="arial" w:hAnsi="arial"/>
          <w:sz w:val="18"/>
        </w:rPr>
      </w:pPr>
      <w:r>
        <w:rPr>
          <w:rFonts w:ascii="arial" w:hAnsi="arial"/>
          <w:sz w:val="18"/>
        </w:rPr>
        <w:t xml:space="preserve">The Audit Committee of our Board (or a member of the Audit Committee acting under authority delegated to him or her by the Audit Committee) approves in advance all services proposed to be performed for the Company or its subsidiaries by any independent registered public accounting firm that performs (or proposes to perform) audit, review or attest services for the Company or its subsidiaries. Under these Exchange Act rules, the requirement for advance Audit Committee approval of services (other than audit, review or attest services) is waived if they were not recognized to be non-audit services at the time that the independent registered public accounting firm was engaged to provide those services, and certain other conditions are satisfied. None of the fees for professional services rendered in connection with our registration statement on Form S-3, and amendments thereto, that were covered by the fees described above were performed without the prior approval of the Audit Committee (or the prior approval of a member of the Audit Committee acting under delegated authority) in reliance upon this waiver provision of the Exchange Act rules. </w:t>
      </w:r>
    </w:p>
    <w:p>
      <w:pPr>
        <w:pStyle w:val="TextBody"/>
        <w:bidi w:val="0"/>
        <w:spacing w:before="360" w:after="0"/>
        <w:jc w:val="left"/>
        <w:rPr>
          <w:rFonts w:ascii="arial" w:hAnsi="arial"/>
          <w:b/>
          <w:color w:val="A41F35"/>
          <w:sz w:val="28"/>
        </w:rPr>
      </w:pPr>
      <w:r>
        <w:rPr>
          <w:rFonts w:ascii="arial" w:hAnsi="arial"/>
          <w:b/>
          <w:color w:val="A41F35"/>
          <w:sz w:val="28"/>
        </w:rPr>
        <w:t xml:space="preserve">Required Vote of Shareholders </w:t>
      </w:r>
    </w:p>
    <w:p>
      <w:pPr>
        <w:pStyle w:val="TextBody"/>
        <w:bidi w:val="0"/>
        <w:spacing w:before="120" w:after="0"/>
        <w:jc w:val="left"/>
        <w:rPr>
          <w:rFonts w:ascii="arial" w:hAnsi="arial"/>
          <w:sz w:val="18"/>
        </w:rPr>
      </w:pPr>
      <w:r>
        <w:rPr>
          <w:rFonts w:ascii="arial" w:hAnsi="arial"/>
          <w:sz w:val="18"/>
        </w:rPr>
        <w:t xml:space="preserve">The affirmative vote of a majority of the votes cast by holders of shares of common stock who are present by remote communication or by proxy at a meeting at which a quorum is present is required (on a non-binding advisory basis) to ratify the appointment of PricewaterhouseCoopers LLP. </w:t>
      </w:r>
    </w:p>
    <w:p>
      <w:pPr>
        <w:pStyle w:val="TextBody"/>
        <w:bidi w:val="0"/>
        <w:spacing w:before="0" w:after="0"/>
        <w:jc w:val="left"/>
        <w:rPr/>
      </w:pPr>
      <w:r>
        <w:rPr/>
        <w:t> </w:t>
      </w:r>
    </w:p>
    <w:p>
      <w:pPr>
        <w:pStyle w:val="TextBody"/>
        <w:pBdr/>
        <w:bidi w:val="0"/>
        <w:spacing w:before="0" w:after="200"/>
        <w:jc w:val="center"/>
        <w:rPr>
          <w:rFonts w:ascii="arial" w:hAnsi="arial"/>
          <w:b/>
          <w:sz w:val="18"/>
          <w:shd w:fill="EFECE8" w:val="clear"/>
        </w:rPr>
      </w:pPr>
      <w:r>
        <w:rPr>
          <w:rFonts w:ascii="arial" w:hAnsi="arial"/>
          <w:b/>
          <w:sz w:val="18"/>
          <w:shd w:fill="EFECE8" w:val="clear"/>
        </w:rPr>
        <w:t xml:space="preserve">Our Board recommends that you vote FOR the proposal to ratify PricewaterhouseCoopers LLP as the Company’s registered independent public accounting firm for 2025 (Proposal 3).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54</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30" w:name="toc803709_27"/>
      <w:bookmarkEnd w:id="30"/>
      <w:r>
        <w:rPr>
          <w:rFonts w:ascii="arial" w:hAnsi="arial"/>
          <w:b/>
          <w:color w:val="A41F35"/>
          <w:sz w:val="56"/>
        </w:rPr>
        <w:t xml:space="preserve">Delinquent Section 16(A) Reports </w:t>
      </w:r>
    </w:p>
    <w:p>
      <w:pPr>
        <w:pStyle w:val="TextBody"/>
        <w:bidi w:val="0"/>
        <w:spacing w:before="480" w:after="0"/>
        <w:jc w:val="left"/>
        <w:rPr>
          <w:rFonts w:ascii="arial" w:hAnsi="arial"/>
          <w:sz w:val="18"/>
        </w:rPr>
      </w:pPr>
      <w:r>
        <w:rPr>
          <w:rFonts w:ascii="arial" w:hAnsi="arial"/>
          <w:sz w:val="18"/>
        </w:rPr>
        <w:t xml:space="preserve">Section 16(a) of the Exchange Act requires the Company’s directors and executive officers and persons who beneficially own more than ten percent of the Company’s common stock to file with the SEC reports showing ownership of and changes in ownership of the Company’s common stock and other equity securities. On the basis of information submitted by the Company’s directors and executive officers, the Company believes that its directors and executive officers timely filed all required Section 16(a) filings for fiscal year 2024, except that Mr. Ranganath had one late Form 4 filing, with respect to reporting the number of shares sold to cover tax withholding obligations in connection with the vesting of restricted stock units on June 5, 2024 and reported on August 9, 2024. </w:t>
      </w:r>
    </w:p>
    <w:p>
      <w:pPr>
        <w:pStyle w:val="TextBody"/>
        <w:bidi w:val="0"/>
        <w:spacing w:before="720" w:after="0"/>
        <w:jc w:val="left"/>
        <w:rPr>
          <w:rFonts w:ascii="arial" w:hAnsi="arial"/>
          <w:b/>
          <w:color w:val="A41F35"/>
          <w:sz w:val="56"/>
        </w:rPr>
      </w:pPr>
      <w:bookmarkStart w:id="31" w:name="toc803709_28"/>
      <w:bookmarkEnd w:id="31"/>
      <w:r>
        <w:rPr>
          <w:rFonts w:ascii="arial" w:hAnsi="arial"/>
          <w:b/>
          <w:color w:val="A41F35"/>
          <w:sz w:val="56"/>
        </w:rPr>
        <w:t xml:space="preserve">Shareholder Proposals for 2026 Annual Meeting </w:t>
      </w:r>
    </w:p>
    <w:p>
      <w:pPr>
        <w:pStyle w:val="TextBody"/>
        <w:bidi w:val="0"/>
        <w:spacing w:before="480" w:after="0"/>
        <w:jc w:val="left"/>
        <w:rPr>
          <w:rFonts w:ascii="arial" w:hAnsi="arial"/>
          <w:sz w:val="18"/>
        </w:rPr>
      </w:pPr>
      <w:r>
        <w:rPr>
          <w:rFonts w:ascii="arial" w:hAnsi="arial"/>
          <w:i/>
          <w:sz w:val="18"/>
        </w:rPr>
        <w:t>Requirements for Shareholder Proposals to be Considered for Inclusion in our Proxy Materials.</w:t>
      </w:r>
      <w:r>
        <w:rPr>
          <w:rFonts w:ascii="arial" w:hAnsi="arial"/>
          <w:sz w:val="18"/>
        </w:rPr>
        <w:t xml:space="preserve"> To be considered for inclusion in next year’s proxy statement, shareholder proposals pursuant to Rule 14a-8 under the Exchange Act must be received by our Corporate Secretary, at TransMedics Group, Inc., 200 Minuteman Road, Suite 302, Andover, MA 01810 no later than December 11, 2025, which is 120 days prior to April 10, 2026. </w:t>
      </w:r>
    </w:p>
    <w:p>
      <w:pPr>
        <w:pStyle w:val="TextBody"/>
        <w:bidi w:val="0"/>
        <w:spacing w:before="160" w:after="0"/>
        <w:jc w:val="left"/>
        <w:rPr>
          <w:rFonts w:ascii="arial" w:hAnsi="arial"/>
          <w:sz w:val="18"/>
        </w:rPr>
      </w:pPr>
      <w:r>
        <w:rPr>
          <w:rFonts w:ascii="arial" w:hAnsi="arial"/>
          <w:i/>
          <w:sz w:val="18"/>
        </w:rPr>
        <w:t>Requirements for Shareholder Proposals or Director Nominations to be Brought Before an Annual Meeting.</w:t>
      </w:r>
      <w:r>
        <w:rPr>
          <w:rFonts w:ascii="arial" w:hAnsi="arial"/>
          <w:sz w:val="18"/>
        </w:rPr>
        <w:t xml:space="preserve"> Our Bylaws provide that, for shareholder nominations to our Board or other proposals to be considered at an annual meeting, the shareholder must have given timely notice thereof in writing to the Corporate Secretary, at TransMedics Group, Inc., 200 Minuteman Road, Suite 302, Andover, MA 01810. To be timely for the 2026 annual meeting, the shareholder’s notice must be delivered to or mailed and received by us not before January 22, 2026 or after February 21, 2026, which is not more than one hundred twenty (120) days, and not less than ninety (90) days before the anniversary date of the preceding annual meeting, except that if the 2026 annual meeting of shareholders is more than thirty (30) days before or after the anniversary date of the previous year’s annual meeting, we must receive the notice not later than sixty (60) days prior to the 2026 annual meeting date. Such notice must provide the information required by our Bylaws with respect to each matter the shareholder proposes to bring before the 2026 annual meeting. Additionally, any shareholder that intends to solicit proxies in support of a director nominee other than our Board’s nominees also must comply with Rule 14a-19 under the Exchange Act. </w:t>
      </w:r>
    </w:p>
    <w:p>
      <w:pPr>
        <w:pStyle w:val="TextBody"/>
        <w:bidi w:val="0"/>
        <w:spacing w:before="720" w:after="0"/>
        <w:jc w:val="left"/>
        <w:rPr>
          <w:rFonts w:ascii="arial" w:hAnsi="arial"/>
          <w:b/>
          <w:color w:val="A41F35"/>
          <w:sz w:val="56"/>
        </w:rPr>
      </w:pPr>
      <w:bookmarkStart w:id="32" w:name="toc803709_29"/>
      <w:bookmarkEnd w:id="32"/>
      <w:r>
        <w:rPr>
          <w:rFonts w:ascii="arial" w:hAnsi="arial"/>
          <w:b/>
          <w:color w:val="A41F35"/>
          <w:sz w:val="56"/>
        </w:rPr>
        <w:t xml:space="preserve">Annual Report </w:t>
      </w:r>
    </w:p>
    <w:p>
      <w:pPr>
        <w:pStyle w:val="TextBody"/>
        <w:bidi w:val="0"/>
        <w:spacing w:before="120" w:after="0"/>
        <w:jc w:val="left"/>
        <w:rPr>
          <w:rFonts w:ascii="arial" w:hAnsi="arial"/>
          <w:sz w:val="18"/>
        </w:rPr>
      </w:pPr>
      <w:r>
        <w:rPr>
          <w:rFonts w:ascii="arial" w:hAnsi="arial"/>
          <w:sz w:val="18"/>
        </w:rPr>
        <w:t xml:space="preserve">Upon written request, the Company will provide without charge to each shareholder who does not otherwise receive a copy of the Company’s annual report to shareholders a copy of the Company’s Annual Report on Form 10-K which was required to be filed with the SEC for the fiscal year ended December 31, 2024. Please address all requests to: </w:t>
      </w:r>
    </w:p>
    <w:p>
      <w:pPr>
        <w:pStyle w:val="TextBody"/>
        <w:bidi w:val="0"/>
        <w:spacing w:before="160" w:after="0"/>
        <w:jc w:val="center"/>
        <w:rPr>
          <w:rFonts w:ascii="arial" w:hAnsi="arial"/>
          <w:sz w:val="18"/>
        </w:rPr>
      </w:pPr>
      <w:r>
        <w:rPr>
          <w:rFonts w:ascii="arial" w:hAnsi="arial"/>
          <w:sz w:val="18"/>
        </w:rPr>
        <w:t xml:space="preserve">Anil Ranganath, Corporate Secretary </w:t>
      </w:r>
    </w:p>
    <w:p>
      <w:pPr>
        <w:pStyle w:val="TextBody"/>
        <w:bidi w:val="0"/>
        <w:spacing w:before="0" w:after="0"/>
        <w:jc w:val="center"/>
        <w:rPr>
          <w:rFonts w:ascii="arial" w:hAnsi="arial"/>
          <w:sz w:val="18"/>
        </w:rPr>
      </w:pPr>
      <w:r>
        <w:rPr>
          <w:rFonts w:ascii="arial" w:hAnsi="arial"/>
          <w:sz w:val="18"/>
        </w:rPr>
        <w:t xml:space="preserve">TransMedics Group, Inc. </w:t>
      </w:r>
    </w:p>
    <w:p>
      <w:pPr>
        <w:pStyle w:val="TextBody"/>
        <w:bidi w:val="0"/>
        <w:spacing w:before="0" w:after="0"/>
        <w:jc w:val="center"/>
        <w:rPr>
          <w:rFonts w:ascii="arial" w:hAnsi="arial"/>
          <w:sz w:val="18"/>
        </w:rPr>
      </w:pPr>
      <w:r>
        <w:rPr>
          <w:rFonts w:ascii="arial" w:hAnsi="arial"/>
          <w:sz w:val="18"/>
        </w:rPr>
        <w:t xml:space="preserve">200 Minuteman Road, Suite 302 </w:t>
      </w:r>
    </w:p>
    <w:p>
      <w:pPr>
        <w:pStyle w:val="TextBody"/>
        <w:bidi w:val="0"/>
        <w:spacing w:before="0" w:after="0"/>
        <w:jc w:val="center"/>
        <w:rPr>
          <w:rFonts w:ascii="arial" w:hAnsi="arial"/>
          <w:sz w:val="18"/>
        </w:rPr>
      </w:pPr>
      <w:r>
        <w:rPr>
          <w:rFonts w:ascii="arial" w:hAnsi="arial"/>
          <w:sz w:val="18"/>
        </w:rPr>
        <w:t xml:space="preserve">Andover, MA 01810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38"/>
        <w:gridCol w:w="60"/>
        <w:gridCol w:w="5720"/>
        <w:gridCol w:w="60"/>
        <w:gridCol w:w="2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righ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b/>
              </w:rPr>
            </w:pPr>
            <w:r>
              <w:rPr>
                <w:b/>
              </w:rPr>
              <w:t>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arial" w:hAnsi="arial"/>
          <w:b/>
          <w:color w:val="A41F35"/>
          <w:sz w:val="56"/>
        </w:rPr>
      </w:pPr>
      <w:bookmarkStart w:id="33" w:name="toc803709_30"/>
      <w:bookmarkEnd w:id="33"/>
      <w:r>
        <w:rPr>
          <w:rFonts w:ascii="arial" w:hAnsi="arial"/>
          <w:b/>
          <w:color w:val="A41F35"/>
          <w:sz w:val="56"/>
        </w:rPr>
        <w:t xml:space="preserve">Householding of Proxy Materials </w:t>
      </w:r>
    </w:p>
    <w:p>
      <w:pPr>
        <w:pStyle w:val="TextBody"/>
        <w:bidi w:val="0"/>
        <w:spacing w:before="480" w:after="0"/>
        <w:jc w:val="left"/>
        <w:rPr>
          <w:rFonts w:ascii="arial" w:hAnsi="arial"/>
          <w:sz w:val="18"/>
        </w:rPr>
      </w:pPr>
      <w:r>
        <w:rPr>
          <w:rFonts w:ascii="arial" w:hAnsi="arial"/>
          <w:sz w:val="18"/>
        </w:rPr>
        <w:t xml:space="preserve">SEC rules concerning the delivery of annual disclosure documents allow us or your broker to send a single notice or, if applicable, a single set of our proxy materials to any household at which two or more of our shareholders reside, if we or your broker believe that the shareholders are members of the same family, unless we have received contrary instructions from one or more of the shareholders. This practice, referred to as “householding,” benefits both you and us. It reduces the volume of duplicate information received at your household and helps to reduce our expenses. The rule applies to our notices, annual reports, proxy statements and information statements. </w:t>
      </w:r>
    </w:p>
    <w:p>
      <w:pPr>
        <w:pStyle w:val="TextBody"/>
        <w:bidi w:val="0"/>
        <w:spacing w:before="160" w:after="0"/>
        <w:jc w:val="left"/>
        <w:rPr>
          <w:rFonts w:ascii="arial" w:hAnsi="arial"/>
          <w:sz w:val="18"/>
        </w:rPr>
      </w:pPr>
      <w:r>
        <w:rPr>
          <w:rFonts w:ascii="arial" w:hAnsi="arial"/>
          <w:sz w:val="18"/>
        </w:rPr>
        <w:t xml:space="preserve">We will undertake to deliver promptly, upon written or oral request, a separate copy to a shareholder at a shared address to which a single copy of the notice or proxy materials was delivered. You may make a written or oral request by sending a notification to our Corporate Secretary at the address above, providing your name, your shared address, and the address to which we should direct the additional copy of the notice or proxy materials. Multiple shareholders sharing an address who have received one copy of a mailing and would prefer us to mail each shareholder a separate copy of future mailings should contact us at our principal executive offices. Additionally, if current shareholders with a shared address received multiple copies of a mailing and would prefer us to mail one copy of future mailings to shareholders at the shared address, notification of that request may also be made through our principal executive offices. Shareholders who participate in householding will continue to have access to and utilize separate proxy voting instructions. </w:t>
      </w:r>
    </w:p>
    <w:p>
      <w:pPr>
        <w:pStyle w:val="TextBody"/>
        <w:bidi w:val="0"/>
        <w:spacing w:before="0" w:after="0"/>
        <w:jc w:val="left"/>
        <w:rPr/>
      </w:pPr>
      <w:r>
        <w:rPr/>
        <w:t> </w:t>
      </w:r>
    </w:p>
    <w:p>
      <w:pPr>
        <w:pStyle w:val="TextBody"/>
        <w:bidi w:val="0"/>
        <w:spacing w:lineRule="atLeast" w:line="142" w:before="0" w:after="40"/>
        <w:jc w:val="left"/>
        <w:rPr>
          <w:bdr w:val="single" w:sz="2" w:space="1" w:color="EFECE8"/>
        </w:rPr>
      </w:pPr>
      <w:r>
        <w:rPr>
          <w:bdr w:val="single" w:sz="2" w:space="1" w:color="EFECE8"/>
        </w:rPr>
        <w:t> </w:t>
      </w:r>
    </w:p>
    <w:p>
      <w:pPr>
        <w:pStyle w:val="TextBody"/>
        <w:bidi w:val="0"/>
        <w:spacing w:before="0" w:after="0"/>
        <w:jc w:val="left"/>
        <w:rPr/>
      </w:pPr>
      <w:r>
        <w:rPr/>
        <w:t> </w:t>
      </w:r>
    </w:p>
    <w:tbl>
      <w:tblPr>
        <w:tblW w:w="6153" w:type="dxa"/>
        <w:jc w:val="left"/>
        <w:tblInd w:w="0" w:type="dxa"/>
        <w:tblLayout w:type="fixed"/>
        <w:tblCellMar>
          <w:top w:w="0" w:type="dxa"/>
          <w:left w:w="0" w:type="dxa"/>
          <w:bottom w:w="0" w:type="dxa"/>
          <w:right w:w="0" w:type="dxa"/>
        </w:tblCellMar>
      </w:tblPr>
      <w:tblGrid>
        <w:gridCol w:w="275"/>
        <w:gridCol w:w="60"/>
        <w:gridCol w:w="5720"/>
        <w:gridCol w:w="60"/>
        <w:gridCol w:w="38"/>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b/>
              </w:rPr>
            </w:pPr>
            <w:r>
              <w:rPr>
                <w:b/>
              </w:rPr>
              <w:t>56</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r>
              <w:rPr>
                <w:b/>
                <w:color w:val="A41F35"/>
              </w:rPr>
              <w:t>TransMedics Group, Inc.</w:t>
            </w:r>
            <w:r>
              <w:rPr/>
              <w:t xml:space="preserve"> 2025 Proxy Statement  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A41F35" w:val="clear"/>
        </w:rPr>
      </w:pPr>
      <w:r>
        <w:rPr>
          <w:shd w:fill="A41F35" w:val="clear"/>
        </w:rPr>
        <w:t> </w:t>
      </w:r>
    </w:p>
    <w:p>
      <w:pPr>
        <w:pStyle w:val="TextBody"/>
        <w:bidi w:val="0"/>
        <w:spacing w:before="0" w:after="0"/>
        <w:jc w:val="left"/>
        <w:rPr>
          <w:shd w:fill="A41F35" w:val="clear"/>
        </w:rPr>
      </w:pPr>
      <w:r>
        <w:rPr>
          <w:shd w:fill="A41F35" w:val="clear"/>
        </w:rPr>
        <w:t> </w:t>
      </w:r>
    </w:p>
    <w:p>
      <w:pPr>
        <w:pStyle w:val="TextBody"/>
        <w:bidi w:val="0"/>
        <w:spacing w:before="0" w:after="0"/>
        <w:jc w:val="center"/>
        <w:rPr>
          <w:shd w:fill="A41F35" w:val="clear"/>
        </w:rPr>
      </w:pPr>
      <w:r>
        <w:rPr>
          <w:shd w:fill="A41F35" w:val="clear"/>
        </w:rPr>
        <w:drawing>
          <wp:inline distT="0" distB="0" distL="0" distR="0">
            <wp:extent cx="3200400" cy="7747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6"/>
                    <a:stretch>
                      <a:fillRect/>
                    </a:stretch>
                  </pic:blipFill>
                  <pic:spPr bwMode="auto">
                    <a:xfrm>
                      <a:off x="0" y="0"/>
                      <a:ext cx="3200400" cy="774700"/>
                    </a:xfrm>
                    <a:prstGeom prst="rect">
                      <a:avLst/>
                    </a:prstGeom>
                  </pic:spPr>
                </pic:pic>
              </a:graphicData>
            </a:graphic>
          </wp:inline>
        </w:drawing>
      </w:r>
      <w:r>
        <w:rPr>
          <w:shd w:fill="A41F35" w:val="clear"/>
        </w:rPr>
        <w:t xml:space="preserve"> </w:t>
      </w:r>
    </w:p>
    <w:p>
      <w:pPr>
        <w:pStyle w:val="TextBody"/>
        <w:bidi w:val="0"/>
        <w:spacing w:before="0" w:after="0"/>
        <w:jc w:val="center"/>
        <w:rPr>
          <w:rFonts w:ascii="arial" w:hAnsi="arial"/>
          <w:color w:val="FFFFFF"/>
          <w:sz w:val="24"/>
          <w:shd w:fill="A41F35" w:val="clear"/>
        </w:rPr>
      </w:pPr>
      <w:r>
        <w:rPr>
          <w:rFonts w:ascii="arial" w:hAnsi="arial"/>
          <w:color w:val="FFFFFF"/>
          <w:sz w:val="24"/>
          <w:shd w:fill="A41F35" w:val="clear"/>
        </w:rPr>
        <w:t xml:space="preserve">200 Minuteman Road </w:t>
      </w:r>
    </w:p>
    <w:p>
      <w:pPr>
        <w:pStyle w:val="TextBody"/>
        <w:bidi w:val="0"/>
        <w:spacing w:before="0" w:after="0"/>
        <w:jc w:val="center"/>
        <w:rPr>
          <w:rFonts w:ascii="arial" w:hAnsi="arial"/>
          <w:color w:val="FFFFFF"/>
          <w:sz w:val="24"/>
          <w:shd w:fill="A41F35" w:val="clear"/>
        </w:rPr>
      </w:pPr>
      <w:r>
        <w:rPr>
          <w:rFonts w:ascii="arial" w:hAnsi="arial"/>
          <w:color w:val="FFFFFF"/>
          <w:sz w:val="24"/>
          <w:shd w:fill="A41F35" w:val="clear"/>
        </w:rPr>
        <w:t xml:space="preserve">Andover, MA 01810 </w:t>
      </w:r>
    </w:p>
    <w:p>
      <w:pPr>
        <w:pStyle w:val="TextBody"/>
        <w:bidi w:val="0"/>
        <w:spacing w:before="0" w:after="0"/>
        <w:jc w:val="left"/>
        <w:rPr>
          <w:shd w:fill="A41F35" w:val="clear"/>
        </w:rPr>
      </w:pPr>
      <w:r>
        <w:rPr>
          <w:shd w:fill="A41F35"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3071495"/>
                <wp:effectExtent l="0" t="0" r="0" b="0"/>
                <wp:wrapSquare wrapText="right"/>
                <wp:docPr id="28" name="Frame4"/>
                <a:graphic xmlns:a="http://schemas.openxmlformats.org/drawingml/2006/main">
                  <a:graphicData uri="http://schemas.microsoft.com/office/word/2010/wordprocessingShape">
                    <wps:wsp>
                      <wps:cNvSpPr txBox="1"/>
                      <wps:spPr>
                        <a:xfrm>
                          <a:off x="0" y="0"/>
                          <a:ext cx="3175000" cy="307149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209800" cy="5715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2209800" cy="571500"/>
                                          </a:xfrm>
                                          <a:prstGeom prst="rect">
                                            <a:avLst/>
                                          </a:prstGeom>
                                        </pic:spPr>
                                      </pic:pic>
                                    </a:graphicData>
                                  </a:graphic>
                                </wp:inline>
                              </w:drawing>
                            </w:r>
                            <w:r>
                              <w:rPr/>
                              <w:t xml:space="preserve"> </w:t>
                            </w:r>
                          </w:p>
                          <w:p>
                            <w:pPr>
                              <w:pStyle w:val="TextBody"/>
                              <w:bidi w:val="0"/>
                              <w:spacing w:before="80" w:after="0"/>
                              <w:jc w:val="left"/>
                              <w:rPr>
                                <w:rFonts w:ascii="ARIAL" w:hAnsi="ARIAL"/>
                                <w:b/>
                                <w:sz w:val="13"/>
                              </w:rPr>
                            </w:pPr>
                            <w:r>
                              <w:rPr>
                                <w:rFonts w:ascii="ARIAL" w:hAnsi="ARIAL"/>
                                <w:b/>
                                <w:sz w:val="13"/>
                              </w:rPr>
                              <w:t xml:space="preserve">VOTE BY INTERNET </w:t>
                            </w:r>
                          </w:p>
                          <w:p>
                            <w:pPr>
                              <w:pStyle w:val="TextBody"/>
                              <w:bidi w:val="0"/>
                              <w:spacing w:before="0" w:after="0"/>
                              <w:ind w:left="0" w:right="780" w:hanging="0"/>
                              <w:jc w:val="left"/>
                              <w:rPr>
                                <w:rFonts w:ascii="ARIAL" w:hAnsi="ARIAL"/>
                                <w:sz w:val="13"/>
                              </w:rPr>
                            </w:pPr>
                            <w:r>
                              <w:rPr>
                                <w:rFonts w:ascii="ARIAL" w:hAnsi="ARIAL"/>
                                <w:i/>
                                <w:sz w:val="13"/>
                              </w:rPr>
                              <w:t xml:space="preserve">Before The Meeting </w:t>
                            </w:r>
                            <w:r>
                              <w:rPr>
                                <w:rFonts w:ascii="ARIAL" w:hAnsi="ARIAL"/>
                                <w:b/>
                                <w:sz w:val="13"/>
                              </w:rPr>
                              <w:t xml:space="preserve">- Go to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780" w:hanging="0"/>
                              <w:jc w:val="both"/>
                              <w:rPr>
                                <w:rFonts w:ascii="ARIAL" w:hAnsi="ARIAL"/>
                                <w:sz w:val="13"/>
                              </w:rPr>
                            </w:pPr>
                            <w:r>
                              <w:rPr>
                                <w:rFonts w:ascii="ARIAL" w:hAnsi="ARIAL"/>
                                <w:sz w:val="13"/>
                              </w:rPr>
                              <w:t xml:space="preserve">Use the Internet to transmit your voting instructions and for electronic delivery of information. Vote by 11:59 p.m. Eastern Time on May 21, 2025. Have your proxy card in hand when you access the web site and follow the instructions to obtain your records and to create an electronic voting instruction form. </w:t>
                            </w:r>
                          </w:p>
                          <w:p>
                            <w:pPr>
                              <w:pStyle w:val="TextBody"/>
                              <w:bidi w:val="0"/>
                              <w:spacing w:before="80" w:after="0"/>
                              <w:ind w:left="0" w:right="780" w:hanging="0"/>
                              <w:jc w:val="left"/>
                              <w:rPr>
                                <w:rFonts w:ascii="ARIAL" w:hAnsi="ARIAL"/>
                                <w:sz w:val="13"/>
                              </w:rPr>
                            </w:pPr>
                            <w:r>
                              <w:rPr>
                                <w:rFonts w:ascii="ARIAL" w:hAnsi="ARIAL"/>
                                <w:i/>
                                <w:sz w:val="13"/>
                              </w:rPr>
                              <w:t>During The Meeting</w:t>
                            </w:r>
                            <w:r>
                              <w:rPr>
                                <w:rFonts w:ascii="ARIAL" w:hAnsi="ARIAL"/>
                                <w:sz w:val="13"/>
                              </w:rPr>
                              <w:t xml:space="preserve"> </w:t>
                            </w:r>
                            <w:r>
                              <w:rPr>
                                <w:rFonts w:ascii="ARIAL" w:hAnsi="ARIAL"/>
                                <w:b/>
                                <w:sz w:val="13"/>
                              </w:rPr>
                              <w:t xml:space="preserve">- Go to </w:t>
                            </w:r>
                            <w:r>
                              <w:rPr>
                                <w:rFonts w:ascii="ARIAL" w:hAnsi="ARIAL"/>
                                <w:b/>
                                <w:sz w:val="13"/>
                                <w:u w:val="single"/>
                              </w:rPr>
                              <w:t>www.virtualshareholdermeeting.com/TMDX2025</w:t>
                            </w:r>
                            <w:r>
                              <w:rPr>
                                <w:rFonts w:ascii="ARIAL" w:hAnsi="ARIAL"/>
                                <w:b/>
                                <w:sz w:val="13"/>
                              </w:rPr>
                              <w:t xml:space="preserve"> </w:t>
                            </w:r>
                          </w:p>
                          <w:p>
                            <w:pPr>
                              <w:pStyle w:val="TextBody"/>
                              <w:bidi w:val="0"/>
                              <w:spacing w:before="80" w:after="0"/>
                              <w:ind w:left="0" w:right="780" w:hanging="0"/>
                              <w:jc w:val="both"/>
                              <w:rPr>
                                <w:rFonts w:ascii="ARIAL" w:hAnsi="ARIAL"/>
                                <w:sz w:val="13"/>
                              </w:rPr>
                            </w:pPr>
                            <w:r>
                              <w:rPr>
                                <w:rFonts w:ascii="ARIAL" w:hAnsi="ARIAL"/>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80" w:after="0"/>
                              <w:jc w:val="left"/>
                              <w:rPr>
                                <w:rFonts w:ascii="ARIAL" w:hAnsi="ARIAL"/>
                                <w:b/>
                                <w:sz w:val="13"/>
                              </w:rPr>
                            </w:pPr>
                            <w:r>
                              <w:rPr>
                                <w:rFonts w:ascii="ARIAL" w:hAnsi="ARIAL"/>
                                <w:b/>
                                <w:sz w:val="13"/>
                              </w:rPr>
                              <w:t xml:space="preserve">VOTE BY PHONE - 1-800-690-6903 </w:t>
                            </w:r>
                          </w:p>
                          <w:p>
                            <w:pPr>
                              <w:pStyle w:val="TextBody"/>
                              <w:bidi w:val="0"/>
                              <w:spacing w:before="0" w:after="0"/>
                              <w:ind w:left="0" w:right="780" w:hanging="0"/>
                              <w:jc w:val="both"/>
                              <w:rPr>
                                <w:rFonts w:ascii="ARIAL" w:hAnsi="ARIAL"/>
                                <w:sz w:val="13"/>
                              </w:rPr>
                            </w:pPr>
                            <w:r>
                              <w:rPr>
                                <w:rFonts w:ascii="ARIAL" w:hAnsi="ARIAL"/>
                                <w:sz w:val="13"/>
                              </w:rPr>
                              <w:t xml:space="preserve">Use any touch-tone telephone to transmit your voting instructions. Vote by 11:59 p.m. Eastern Time on May 21, 2025. Have your proxy card in hand when you call and then follow the instructions. </w:t>
                            </w:r>
                          </w:p>
                          <w:p>
                            <w:pPr>
                              <w:pStyle w:val="TextBody"/>
                              <w:bidi w:val="0"/>
                              <w:spacing w:before="80" w:after="0"/>
                              <w:jc w:val="left"/>
                              <w:rPr>
                                <w:rFonts w:ascii="ARIAL" w:hAnsi="ARIAL"/>
                                <w:b/>
                                <w:sz w:val="13"/>
                              </w:rPr>
                            </w:pPr>
                            <w:r>
                              <w:rPr>
                                <w:rFonts w:ascii="ARIAL" w:hAnsi="ARIAL"/>
                                <w:b/>
                                <w:sz w:val="13"/>
                              </w:rPr>
                              <w:t xml:space="preserve">VOTE BY MAIL </w:t>
                            </w:r>
                          </w:p>
                          <w:p>
                            <w:pPr>
                              <w:pStyle w:val="TextBody"/>
                              <w:bidi w:val="0"/>
                              <w:spacing w:before="0" w:after="0"/>
                              <w:ind w:left="0" w:right="780" w:hanging="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1.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209800" cy="5715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8"/>
                                    <a:stretch>
                                      <a:fillRect/>
                                    </a:stretch>
                                  </pic:blipFill>
                                  <pic:spPr bwMode="auto">
                                    <a:xfrm>
                                      <a:off x="0" y="0"/>
                                      <a:ext cx="2209800" cy="571500"/>
                                    </a:xfrm>
                                    <a:prstGeom prst="rect">
                                      <a:avLst/>
                                    </a:prstGeom>
                                  </pic:spPr>
                                </pic:pic>
                              </a:graphicData>
                            </a:graphic>
                          </wp:inline>
                        </w:drawing>
                      </w:r>
                      <w:r>
                        <w:rPr/>
                        <w:t xml:space="preserve"> </w:t>
                      </w:r>
                    </w:p>
                    <w:p>
                      <w:pPr>
                        <w:pStyle w:val="TextBody"/>
                        <w:bidi w:val="0"/>
                        <w:spacing w:before="80" w:after="0"/>
                        <w:jc w:val="left"/>
                        <w:rPr>
                          <w:rFonts w:ascii="ARIAL" w:hAnsi="ARIAL"/>
                          <w:b/>
                          <w:sz w:val="13"/>
                        </w:rPr>
                      </w:pPr>
                      <w:r>
                        <w:rPr>
                          <w:rFonts w:ascii="ARIAL" w:hAnsi="ARIAL"/>
                          <w:b/>
                          <w:sz w:val="13"/>
                        </w:rPr>
                        <w:t xml:space="preserve">VOTE BY INTERNET </w:t>
                      </w:r>
                    </w:p>
                    <w:p>
                      <w:pPr>
                        <w:pStyle w:val="TextBody"/>
                        <w:bidi w:val="0"/>
                        <w:spacing w:before="0" w:after="0"/>
                        <w:ind w:left="0" w:right="780" w:hanging="0"/>
                        <w:jc w:val="left"/>
                        <w:rPr>
                          <w:rFonts w:ascii="ARIAL" w:hAnsi="ARIAL"/>
                          <w:sz w:val="13"/>
                        </w:rPr>
                      </w:pPr>
                      <w:r>
                        <w:rPr>
                          <w:rFonts w:ascii="ARIAL" w:hAnsi="ARIAL"/>
                          <w:i/>
                          <w:sz w:val="13"/>
                        </w:rPr>
                        <w:t xml:space="preserve">Before The Meeting </w:t>
                      </w:r>
                      <w:r>
                        <w:rPr>
                          <w:rFonts w:ascii="ARIAL" w:hAnsi="ARIAL"/>
                          <w:b/>
                          <w:sz w:val="13"/>
                        </w:rPr>
                        <w:t xml:space="preserve">- Go to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780" w:hanging="0"/>
                        <w:jc w:val="both"/>
                        <w:rPr>
                          <w:rFonts w:ascii="ARIAL" w:hAnsi="ARIAL"/>
                          <w:sz w:val="13"/>
                        </w:rPr>
                      </w:pPr>
                      <w:r>
                        <w:rPr>
                          <w:rFonts w:ascii="ARIAL" w:hAnsi="ARIAL"/>
                          <w:sz w:val="13"/>
                        </w:rPr>
                        <w:t xml:space="preserve">Use the Internet to transmit your voting instructions and for electronic delivery of information. Vote by 11:59 p.m. Eastern Time on May 21, 2025. Have your proxy card in hand when you access the web site and follow the instructions to obtain your records and to create an electronic voting instruction form. </w:t>
                      </w:r>
                    </w:p>
                    <w:p>
                      <w:pPr>
                        <w:pStyle w:val="TextBody"/>
                        <w:bidi w:val="0"/>
                        <w:spacing w:before="80" w:after="0"/>
                        <w:ind w:left="0" w:right="780" w:hanging="0"/>
                        <w:jc w:val="left"/>
                        <w:rPr>
                          <w:rFonts w:ascii="ARIAL" w:hAnsi="ARIAL"/>
                          <w:sz w:val="13"/>
                        </w:rPr>
                      </w:pPr>
                      <w:r>
                        <w:rPr>
                          <w:rFonts w:ascii="ARIAL" w:hAnsi="ARIAL"/>
                          <w:i/>
                          <w:sz w:val="13"/>
                        </w:rPr>
                        <w:t>During The Meeting</w:t>
                      </w:r>
                      <w:r>
                        <w:rPr>
                          <w:rFonts w:ascii="ARIAL" w:hAnsi="ARIAL"/>
                          <w:sz w:val="13"/>
                        </w:rPr>
                        <w:t xml:space="preserve"> </w:t>
                      </w:r>
                      <w:r>
                        <w:rPr>
                          <w:rFonts w:ascii="ARIAL" w:hAnsi="ARIAL"/>
                          <w:b/>
                          <w:sz w:val="13"/>
                        </w:rPr>
                        <w:t xml:space="preserve">- Go to </w:t>
                      </w:r>
                      <w:r>
                        <w:rPr>
                          <w:rFonts w:ascii="ARIAL" w:hAnsi="ARIAL"/>
                          <w:b/>
                          <w:sz w:val="13"/>
                          <w:u w:val="single"/>
                        </w:rPr>
                        <w:t>www.virtualshareholdermeeting.com/TMDX2025</w:t>
                      </w:r>
                      <w:r>
                        <w:rPr>
                          <w:rFonts w:ascii="ARIAL" w:hAnsi="ARIAL"/>
                          <w:b/>
                          <w:sz w:val="13"/>
                        </w:rPr>
                        <w:t xml:space="preserve"> </w:t>
                      </w:r>
                    </w:p>
                    <w:p>
                      <w:pPr>
                        <w:pStyle w:val="TextBody"/>
                        <w:bidi w:val="0"/>
                        <w:spacing w:before="80" w:after="0"/>
                        <w:ind w:left="0" w:right="780" w:hanging="0"/>
                        <w:jc w:val="both"/>
                        <w:rPr>
                          <w:rFonts w:ascii="ARIAL" w:hAnsi="ARIAL"/>
                          <w:sz w:val="13"/>
                        </w:rPr>
                      </w:pPr>
                      <w:r>
                        <w:rPr>
                          <w:rFonts w:ascii="ARIAL" w:hAnsi="ARIAL"/>
                          <w:sz w:val="13"/>
                        </w:rPr>
                        <w:t xml:space="preserve">You may attend the meeting via the Internet and vote during the meeting. Have the information that is printed in the box marked by the arrow available and follow the instructions. </w:t>
                      </w:r>
                    </w:p>
                    <w:p>
                      <w:pPr>
                        <w:pStyle w:val="TextBody"/>
                        <w:bidi w:val="0"/>
                        <w:spacing w:before="80" w:after="0"/>
                        <w:jc w:val="left"/>
                        <w:rPr>
                          <w:rFonts w:ascii="ARIAL" w:hAnsi="ARIAL"/>
                          <w:b/>
                          <w:sz w:val="13"/>
                        </w:rPr>
                      </w:pPr>
                      <w:r>
                        <w:rPr>
                          <w:rFonts w:ascii="ARIAL" w:hAnsi="ARIAL"/>
                          <w:b/>
                          <w:sz w:val="13"/>
                        </w:rPr>
                        <w:t xml:space="preserve">VOTE BY PHONE - 1-800-690-6903 </w:t>
                      </w:r>
                    </w:p>
                    <w:p>
                      <w:pPr>
                        <w:pStyle w:val="TextBody"/>
                        <w:bidi w:val="0"/>
                        <w:spacing w:before="0" w:after="0"/>
                        <w:ind w:left="0" w:right="780" w:hanging="0"/>
                        <w:jc w:val="both"/>
                        <w:rPr>
                          <w:rFonts w:ascii="ARIAL" w:hAnsi="ARIAL"/>
                          <w:sz w:val="13"/>
                        </w:rPr>
                      </w:pPr>
                      <w:r>
                        <w:rPr>
                          <w:rFonts w:ascii="ARIAL" w:hAnsi="ARIAL"/>
                          <w:sz w:val="13"/>
                        </w:rPr>
                        <w:t xml:space="preserve">Use any touch-tone telephone to transmit your voting instructions. Vote by 11:59 p.m. Eastern Time on May 21, 2025. Have your proxy card in hand when you call and then follow the instructions. </w:t>
                      </w:r>
                    </w:p>
                    <w:p>
                      <w:pPr>
                        <w:pStyle w:val="TextBody"/>
                        <w:bidi w:val="0"/>
                        <w:spacing w:before="80" w:after="0"/>
                        <w:jc w:val="left"/>
                        <w:rPr>
                          <w:rFonts w:ascii="ARIAL" w:hAnsi="ARIAL"/>
                          <w:b/>
                          <w:sz w:val="13"/>
                        </w:rPr>
                      </w:pPr>
                      <w:r>
                        <w:rPr>
                          <w:rFonts w:ascii="ARIAL" w:hAnsi="ARIAL"/>
                          <w:b/>
                          <w:sz w:val="13"/>
                        </w:rPr>
                        <w:t xml:space="preserve">VOTE BY MAIL </w:t>
                      </w:r>
                    </w:p>
                    <w:p>
                      <w:pPr>
                        <w:pStyle w:val="TextBody"/>
                        <w:bidi w:val="0"/>
                        <w:spacing w:before="0" w:after="0"/>
                        <w:ind w:left="0" w:right="780" w:hanging="0"/>
                        <w:jc w:val="both"/>
                        <w:rPr>
                          <w:rFonts w:ascii="ARIAL" w:hAnsi="ARIAL"/>
                          <w:sz w:val="13"/>
                        </w:rPr>
                      </w:pPr>
                      <w:r>
                        <w:rPr>
                          <w:rFonts w:ascii="ARIAL" w:hAnsi="ARIAL"/>
                          <w:sz w:val="13"/>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919480"/>
                <wp:effectExtent l="0" t="0" r="0" b="0"/>
                <wp:wrapSquare wrapText="right"/>
                <wp:docPr id="31" name="Frame3"/>
                <a:graphic xmlns:a="http://schemas.openxmlformats.org/drawingml/2006/main">
                  <a:graphicData uri="http://schemas.microsoft.com/office/word/2010/wordprocessingShape">
                    <wps:wsp>
                      <wps:cNvSpPr txBox="1"/>
                      <wps:spPr>
                        <a:xfrm>
                          <a:off x="0" y="0"/>
                          <a:ext cx="3110230" cy="919480"/>
                        </a:xfrm>
                        <a:prstGeom prst="rect"/>
                        <a:solidFill>
                          <a:srgbClr val="FFFFFF"/>
                        </a:solidFill>
                      </wps:spPr>
                      <wps:txbx>
                        <w:txbxContent>
                          <w:p>
                            <w:pPr>
                              <w:pStyle w:val="TextBody"/>
                              <w:bidi w:val="0"/>
                              <w:spacing w:before="0" w:after="0"/>
                              <w:jc w:val="left"/>
                              <w:rPr/>
                            </w:pPr>
                            <w:r>
                              <w:rPr/>
                              <w:t> </w:t>
                            </w:r>
                          </w:p>
                          <w:p>
                            <w:pPr>
                              <w:pStyle w:val="TextBody"/>
                              <w:bidi w:val="0"/>
                              <w:spacing w:before="0" w:after="0"/>
                              <w:ind w:left="500" w:right="0" w:hanging="0"/>
                              <w:jc w:val="left"/>
                              <w:rPr/>
                            </w:pPr>
                            <w:r>
                              <w:rPr/>
                              <w:drawing>
                                <wp:inline distT="0" distB="0" distL="0" distR="0">
                                  <wp:extent cx="1885950" cy="3905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9"/>
                                          <a:stretch>
                                            <a:fillRect/>
                                          </a:stretch>
                                        </pic:blipFill>
                                        <pic:spPr bwMode="auto">
                                          <a:xfrm>
                                            <a:off x="0" y="0"/>
                                            <a:ext cx="1885950" cy="390525"/>
                                          </a:xfrm>
                                          <a:prstGeom prst="rect">
                                            <a:avLst/>
                                          </a:prstGeom>
                                        </pic:spPr>
                                      </pic:pic>
                                    </a:graphicData>
                                  </a:graphic>
                                </wp:inline>
                              </w:drawing>
                            </w:r>
                            <w:r>
                              <w:rPr/>
                              <w:t xml:space="preserve"> </w:t>
                            </w:r>
                          </w:p>
                          <w:p>
                            <w:pPr>
                              <w:pStyle w:val="TextBody"/>
                              <w:bidi w:val="0"/>
                              <w:spacing w:before="160" w:after="0"/>
                              <w:ind w:left="550" w:right="0" w:hanging="0"/>
                              <w:jc w:val="left"/>
                              <w:rPr>
                                <w:rFonts w:ascii="ARIAL" w:hAnsi="ARIAL"/>
                                <w:sz w:val="10"/>
                              </w:rPr>
                            </w:pPr>
                            <w:r>
                              <w:rPr>
                                <w:rFonts w:ascii="ARIAL" w:hAnsi="ARIAL"/>
                                <w:i/>
                                <w:sz w:val="10"/>
                              </w:rPr>
                              <w:t>TRANSMEDICS GROUP, INC.</w:t>
                            </w:r>
                            <w:r>
                              <w:rPr>
                                <w:rFonts w:ascii="ARIAL" w:hAnsi="ARIAL"/>
                                <w:sz w:val="10"/>
                              </w:rPr>
                              <w:t xml:space="preserve"> </w:t>
                            </w:r>
                          </w:p>
                          <w:p>
                            <w:pPr>
                              <w:pStyle w:val="TextBody"/>
                              <w:bidi w:val="0"/>
                              <w:spacing w:before="0" w:after="0"/>
                              <w:ind w:left="550" w:right="0" w:hanging="0"/>
                              <w:jc w:val="left"/>
                              <w:rPr>
                                <w:rFonts w:ascii="ARIAL" w:hAnsi="ARIAL"/>
                                <w:sz w:val="10"/>
                              </w:rPr>
                            </w:pPr>
                            <w:r>
                              <w:rPr>
                                <w:rFonts w:ascii="ARIAL" w:hAnsi="ARIAL"/>
                                <w:i/>
                                <w:sz w:val="10"/>
                              </w:rPr>
                              <w:t>200 MINUTEMAN ROAD, SUITE 302</w:t>
                            </w:r>
                            <w:r>
                              <w:rPr>
                                <w:rFonts w:ascii="ARIAL" w:hAnsi="ARIAL"/>
                                <w:sz w:val="10"/>
                              </w:rPr>
                              <w:t xml:space="preserve"> </w:t>
                            </w:r>
                          </w:p>
                          <w:p>
                            <w:pPr>
                              <w:pStyle w:val="TextBody"/>
                              <w:bidi w:val="0"/>
                              <w:spacing w:before="0" w:after="0"/>
                              <w:ind w:left="550" w:right="0" w:hanging="0"/>
                              <w:jc w:val="left"/>
                              <w:rPr>
                                <w:rFonts w:ascii="ARIAL" w:hAnsi="ARIAL"/>
                                <w:sz w:val="10"/>
                              </w:rPr>
                            </w:pPr>
                            <w:r>
                              <w:rPr>
                                <w:rFonts w:ascii="ARIAL" w:hAnsi="ARIAL"/>
                                <w:i/>
                                <w:sz w:val="10"/>
                              </w:rPr>
                              <w:t>ANDOVER, MA 01810</w:t>
                            </w:r>
                            <w:r>
                              <w:rPr>
                                <w:rFonts w:ascii="ARIAL" w:hAnsi="ARIAL"/>
                                <w:sz w:val="10"/>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4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ind w:left="500" w:right="0" w:hanging="0"/>
                        <w:jc w:val="left"/>
                        <w:rPr/>
                      </w:pPr>
                      <w:r>
                        <w:rPr/>
                        <w:drawing>
                          <wp:inline distT="0" distB="0" distL="0" distR="0">
                            <wp:extent cx="1885950" cy="39052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30"/>
                                    <a:stretch>
                                      <a:fillRect/>
                                    </a:stretch>
                                  </pic:blipFill>
                                  <pic:spPr bwMode="auto">
                                    <a:xfrm>
                                      <a:off x="0" y="0"/>
                                      <a:ext cx="1885950" cy="390525"/>
                                    </a:xfrm>
                                    <a:prstGeom prst="rect">
                                      <a:avLst/>
                                    </a:prstGeom>
                                  </pic:spPr>
                                </pic:pic>
                              </a:graphicData>
                            </a:graphic>
                          </wp:inline>
                        </w:drawing>
                      </w:r>
                      <w:r>
                        <w:rPr/>
                        <w:t xml:space="preserve"> </w:t>
                      </w:r>
                    </w:p>
                    <w:p>
                      <w:pPr>
                        <w:pStyle w:val="TextBody"/>
                        <w:bidi w:val="0"/>
                        <w:spacing w:before="160" w:after="0"/>
                        <w:ind w:left="550" w:right="0" w:hanging="0"/>
                        <w:jc w:val="left"/>
                        <w:rPr>
                          <w:rFonts w:ascii="ARIAL" w:hAnsi="ARIAL"/>
                          <w:sz w:val="10"/>
                        </w:rPr>
                      </w:pPr>
                      <w:r>
                        <w:rPr>
                          <w:rFonts w:ascii="ARIAL" w:hAnsi="ARIAL"/>
                          <w:i/>
                          <w:sz w:val="10"/>
                        </w:rPr>
                        <w:t>TRANSMEDICS GROUP, INC.</w:t>
                      </w:r>
                      <w:r>
                        <w:rPr>
                          <w:rFonts w:ascii="ARIAL" w:hAnsi="ARIAL"/>
                          <w:sz w:val="10"/>
                        </w:rPr>
                        <w:t xml:space="preserve"> </w:t>
                      </w:r>
                    </w:p>
                    <w:p>
                      <w:pPr>
                        <w:pStyle w:val="TextBody"/>
                        <w:bidi w:val="0"/>
                        <w:spacing w:before="0" w:after="0"/>
                        <w:ind w:left="550" w:right="0" w:hanging="0"/>
                        <w:jc w:val="left"/>
                        <w:rPr>
                          <w:rFonts w:ascii="ARIAL" w:hAnsi="ARIAL"/>
                          <w:sz w:val="10"/>
                        </w:rPr>
                      </w:pPr>
                      <w:r>
                        <w:rPr>
                          <w:rFonts w:ascii="ARIAL" w:hAnsi="ARIAL"/>
                          <w:i/>
                          <w:sz w:val="10"/>
                        </w:rPr>
                        <w:t>200 MINUTEMAN ROAD, SUITE 302</w:t>
                      </w:r>
                      <w:r>
                        <w:rPr>
                          <w:rFonts w:ascii="ARIAL" w:hAnsi="ARIAL"/>
                          <w:sz w:val="10"/>
                        </w:rPr>
                        <w:t xml:space="preserve"> </w:t>
                      </w:r>
                    </w:p>
                    <w:p>
                      <w:pPr>
                        <w:pStyle w:val="TextBody"/>
                        <w:bidi w:val="0"/>
                        <w:spacing w:before="0" w:after="0"/>
                        <w:ind w:left="550" w:right="0" w:hanging="0"/>
                        <w:jc w:val="left"/>
                        <w:rPr>
                          <w:rFonts w:ascii="ARIAL" w:hAnsi="ARIAL"/>
                          <w:sz w:val="10"/>
                        </w:rPr>
                      </w:pPr>
                      <w:r>
                        <w:rPr>
                          <w:rFonts w:ascii="ARIAL" w:hAnsi="ARIAL"/>
                          <w:i/>
                          <w:sz w:val="10"/>
                        </w:rPr>
                        <w:t>ANDOVER, MA 01810</w:t>
                      </w:r>
                      <w:r>
                        <w:rPr>
                          <w:rFonts w:ascii="ARIAL" w:hAnsi="ARIAL"/>
                          <w:sz w:val="10"/>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3"/>
        <w:gridCol w:w="358"/>
        <w:gridCol w:w="68"/>
        <w:gridCol w:w="358"/>
        <w:gridCol w:w="2649"/>
        <w:gridCol w:w="159"/>
        <w:gridCol w:w="6500"/>
      </w:tblGrid>
      <w:tr>
        <w:trPr/>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500" w:type="dxa"/>
            <w:tcBorders/>
            <w:vAlign w:val="center"/>
          </w:tcPr>
          <w:p>
            <w:pPr>
              <w:pStyle w:val="TableContents"/>
              <w:bidi w:val="0"/>
              <w:spacing w:before="0" w:after="283"/>
              <w:jc w:val="left"/>
              <w:rPr>
                <w:sz w:val="4"/>
                <w:szCs w:val="4"/>
              </w:rPr>
            </w:pPr>
            <w:r>
              <w:rPr>
                <w:sz w:val="4"/>
                <w:szCs w:val="4"/>
              </w:rPr>
            </w:r>
          </w:p>
        </w:tc>
      </w:tr>
      <w:tr>
        <w:trPr/>
        <w:tc>
          <w:tcPr>
            <w:tcW w:w="3546" w:type="dxa"/>
            <w:gridSpan w:val="5"/>
            <w:tcBorders/>
            <w:vAlign w:val="center"/>
          </w:tcPr>
          <w:p>
            <w:pPr>
              <w:pStyle w:val="TableContents"/>
              <w:bidi w:val="0"/>
              <w:spacing w:before="0" w:after="0"/>
              <w:jc w:val="left"/>
              <w:rPr>
                <w:rFonts w:ascii="ARIAL" w:hAnsi="ARIAL"/>
                <w:sz w:val="14"/>
              </w:rPr>
            </w:pPr>
            <w:r>
              <w:rPr>
                <w:rFonts w:ascii="ARIAL" w:hAnsi="ARIAL"/>
                <w:sz w:val="14"/>
              </w:rPr>
              <w:t>TO VOTE, MARK BLOCKS BELOW IN BLUE OR BLACK INK AS FOLLOWS:</w:t>
            </w:r>
          </w:p>
        </w:tc>
        <w:tc>
          <w:tcPr>
            <w:tcW w:w="159"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0"/>
              <w:jc w:val="right"/>
              <w:rPr>
                <w:rFonts w:ascii="ARIAL" w:hAnsi="ARIAL"/>
                <w:sz w:val="14"/>
              </w:rPr>
            </w:pPr>
            <w:r>
              <w:rPr>
                <w:rFonts w:ascii="ARIAL" w:hAnsi="ARIAL"/>
                <w:sz w:val="14"/>
              </w:rPr>
              <w:t>V68033-P28374</w:t>
            </w:r>
          </w:p>
        </w:tc>
        <w:tc>
          <w:tcPr>
            <w:tcW w:w="159"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sz w:val="4"/>
                <w:szCs w:val="4"/>
              </w:rPr>
            </w:pPr>
            <w:r>
              <w:rPr>
                <w:sz w:val="4"/>
                <w:szCs w:val="4"/>
              </w:rPr>
            </w:r>
          </w:p>
        </w:tc>
      </w:tr>
      <w:tr>
        <w:trPr/>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right"/>
              <w:rPr/>
            </w:pPr>
            <w:r>
              <w:rPr/>
              <w:t>KEEP THIS PORTION FOR YOUR RECORDS</w:t>
            </w:r>
          </w:p>
        </w:tc>
      </w:tr>
      <w:tr>
        <w:trPr/>
        <w:tc>
          <w:tcPr>
            <w:tcW w:w="10205" w:type="dxa"/>
            <w:gridSpan w:val="7"/>
            <w:tcBorders/>
            <w:vAlign w:val="center"/>
          </w:tcPr>
          <w:p>
            <w:pPr>
              <w:pStyle w:val="TableContents"/>
              <w:bidi w:val="0"/>
              <w:spacing w:before="0" w:after="283"/>
              <w:jc w:val="left"/>
              <w:rPr/>
            </w:pPr>
            <w:r>
              <w:rPr/>
              <w:t>— — — — — — — — — — — — — — — — — — — — — — — — — — — — — — — — — — — — — — — — — — — — — — — — — — — — — — — — — — — — — — — — — — — — — — — —</w:t>
            </w:r>
          </w:p>
        </w:tc>
      </w:tr>
    </w:tbl>
    <w:tbl>
      <w:tblPr>
        <w:tblW w:w="2855" w:type="dxa"/>
        <w:jc w:val="left"/>
        <w:tblInd w:w="0" w:type="dxa"/>
        <w:tblLayout w:type="fixed"/>
        <w:tblCellMar>
          <w:top w:w="0" w:type="dxa"/>
          <w:left w:w="0" w:type="dxa"/>
          <w:bottom w:w="0" w:type="dxa"/>
          <w:right w:w="0" w:type="dxa"/>
        </w:tblCellMar>
      </w:tblPr>
      <w:tblGrid>
        <w:gridCol w:w="2855"/>
      </w:tblGrid>
      <w:tr>
        <w:trPr/>
        <w:tc>
          <w:tcPr>
            <w:tcW w:w="285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right"/>
              <w:rPr>
                <w:rFonts w:ascii="ARIAL" w:hAnsi="ARIAL"/>
                <w:sz w:val="14"/>
              </w:rPr>
            </w:pPr>
            <w:r>
              <w:rPr>
                <w:rFonts w:ascii="ARIAL" w:hAnsi="ARIAL"/>
                <w:sz w:val="14"/>
              </w:rPr>
              <w:t>DETACH AND RETURN THIS PORTION ONLY</w:t>
            </w:r>
          </w:p>
        </w:tc>
      </w:tr>
    </w:tbl>
    <w:p>
      <w:pPr>
        <w:pStyle w:val="TextBody"/>
        <w:bidi w:val="0"/>
        <w:spacing w:before="0" w:after="0"/>
        <w:jc w:val="center"/>
        <w:rPr>
          <w:rFonts w:ascii="ARIAL" w:hAnsi="ARIAL"/>
          <w:b/>
          <w:sz w:val="16"/>
        </w:rPr>
      </w:pPr>
      <w:r>
        <w:rPr>
          <w:rFonts w:ascii="ARIAL" w:hAnsi="ARIAL"/>
          <w:b/>
          <w:sz w:val="16"/>
        </w:rPr>
        <w:t xml:space="preserve">THIS PROXY CARD IS VALID ONLY WHEN SIGNED AND DATED. </w:t>
      </w:r>
    </w:p>
    <w:p>
      <w:pPr>
        <w:pStyle w:val="TextBody"/>
        <w:bidi w:val="0"/>
        <w:spacing w:before="0" w:after="0"/>
        <w:jc w:val="left"/>
        <w:rPr/>
      </w:pPr>
      <w:r>
        <w:rPr/>
        <w:t> </w:t>
      </w:r>
    </w:p>
    <w:p>
      <w:pPr>
        <w:pStyle w:val="TextBody"/>
        <w:bidi w:val="0"/>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10230" cy="6363335"/>
                <wp:effectExtent l="0" t="0" r="0" b="0"/>
                <wp:wrapSquare wrapText="right"/>
                <wp:docPr id="34" name="Frame5"/>
                <a:graphic xmlns:a="http://schemas.openxmlformats.org/drawingml/2006/main">
                  <a:graphicData uri="http://schemas.microsoft.com/office/word/2010/wordprocessingShape">
                    <wps:wsp>
                      <wps:cNvSpPr txBox="1"/>
                      <wps:spPr>
                        <a:xfrm>
                          <a:off x="0" y="0"/>
                          <a:ext cx="3110230" cy="6363335"/>
                        </a:xfrm>
                        <a:prstGeom prst="rect"/>
                        <a:solidFill>
                          <a:srgbClr val="FFFFFF"/>
                        </a:solidFill>
                      </wps:spPr>
                      <wps:txbx>
                        <w:txbxContent>
                          <w:p>
                            <w:pPr>
                              <w:pStyle w:val="TextBody"/>
                              <w:bidi w:val="0"/>
                              <w:spacing w:before="120" w:after="0"/>
                              <w:ind w:left="110" w:right="0" w:hanging="0"/>
                              <w:jc w:val="left"/>
                              <w:rPr>
                                <w:rFonts w:ascii="ARIAL" w:hAnsi="ARIAL"/>
                                <w:b/>
                                <w:sz w:val="14"/>
                              </w:rPr>
                            </w:pPr>
                            <w:r>
                              <w:rPr>
                                <w:rFonts w:ascii="ARIAL" w:hAnsi="ARIAL"/>
                                <w:b/>
                                <w:sz w:val="14"/>
                              </w:rPr>
                              <w:t xml:space="preserve">TRANSMEDICS GROUP, INC. </w:t>
                            </w:r>
                          </w:p>
                          <w:p>
                            <w:pPr>
                              <w:pStyle w:val="TextBody"/>
                              <w:bidi w:val="0"/>
                              <w:spacing w:before="200" w:after="0"/>
                              <w:ind w:left="280" w:right="0" w:hanging="0"/>
                              <w:jc w:val="left"/>
                              <w:rPr>
                                <w:rFonts w:ascii="ARIAL" w:hAnsi="ARIAL"/>
                                <w:b/>
                                <w:sz w:val="14"/>
                              </w:rPr>
                            </w:pPr>
                            <w:r>
                              <w:rPr>
                                <w:rFonts w:ascii="ARIAL" w:hAnsi="ARIAL"/>
                                <w:b/>
                                <w:sz w:val="14"/>
                              </w:rPr>
                              <w:t xml:space="preserve">The Board of Directors recommends you vote FOR the following: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530"/>
                              <w:gridCol w:w="1325"/>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r>
                                    <w:rPr/>
                                    <w:t>1.</w:t>
                                  </w:r>
                                </w:p>
                              </w:tc>
                              <w:tc>
                                <w:tcPr>
                                  <w:tcW w:w="1325" w:type="dxa"/>
                                  <w:tcBorders/>
                                  <w:vAlign w:val="center"/>
                                </w:tcPr>
                                <w:p>
                                  <w:pPr>
                                    <w:pStyle w:val="TableContents"/>
                                    <w:bidi w:val="0"/>
                                    <w:spacing w:before="0" w:after="0"/>
                                    <w:jc w:val="both"/>
                                    <w:rPr>
                                      <w:rFonts w:ascii="ARIAL" w:hAnsi="ARIAL"/>
                                      <w:sz w:val="14"/>
                                    </w:rPr>
                                  </w:pPr>
                                  <w:r>
                                    <w:rPr>
                                      <w:rFonts w:ascii="ARIAL" w:hAnsi="ARIAL"/>
                                      <w:sz w:val="14"/>
                                    </w:rPr>
                                    <w:t xml:space="preserve">Election of Directors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35" w:type="dxa"/>
                              <w:jc w:val="left"/>
                              <w:tblInd w:w="0" w:type="dxa"/>
                              <w:tblLayout w:type="fixed"/>
                              <w:tblCellMar>
                                <w:top w:w="0" w:type="dxa"/>
                                <w:left w:w="0" w:type="dxa"/>
                                <w:bottom w:w="0" w:type="dxa"/>
                                <w:right w:w="0" w:type="dxa"/>
                              </w:tblCellMar>
                            </w:tblPr>
                            <w:tblGrid>
                              <w:gridCol w:w="2030"/>
                              <w:gridCol w:w="60"/>
                              <w:gridCol w:w="395"/>
                              <w:gridCol w:w="60"/>
                              <w:gridCol w:w="800"/>
                              <w:gridCol w:w="60"/>
                              <w:gridCol w:w="830"/>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       </w:t>
                                  </w:r>
                                  <w:r>
                                    <w:rPr>
                                      <w:b/>
                                    </w:rPr>
                                    <w:t>Nominees: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1a.  Waleed H. Hassanein, M.D.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1b.   James R. Tobin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1c.   Edward M. Basile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1d.  Thomas J. Gunderson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1e.  Edwin M. Kania, Jr.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1f.   Stephanie Lovell</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1g.  Merilee Raines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1h.  David Weill, M.D.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1.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120" w:after="0"/>
                        <w:ind w:left="110" w:right="0" w:hanging="0"/>
                        <w:jc w:val="left"/>
                        <w:rPr>
                          <w:rFonts w:ascii="ARIAL" w:hAnsi="ARIAL"/>
                          <w:b/>
                          <w:sz w:val="14"/>
                        </w:rPr>
                      </w:pPr>
                      <w:r>
                        <w:rPr>
                          <w:rFonts w:ascii="ARIAL" w:hAnsi="ARIAL"/>
                          <w:b/>
                          <w:sz w:val="14"/>
                        </w:rPr>
                        <w:t xml:space="preserve">TRANSMEDICS GROUP, INC. </w:t>
                      </w:r>
                    </w:p>
                    <w:p>
                      <w:pPr>
                        <w:pStyle w:val="TextBody"/>
                        <w:bidi w:val="0"/>
                        <w:spacing w:before="200" w:after="0"/>
                        <w:ind w:left="280" w:right="0" w:hanging="0"/>
                        <w:jc w:val="left"/>
                        <w:rPr>
                          <w:rFonts w:ascii="ARIAL" w:hAnsi="ARIAL"/>
                          <w:b/>
                          <w:sz w:val="14"/>
                        </w:rPr>
                      </w:pPr>
                      <w:r>
                        <w:rPr>
                          <w:rFonts w:ascii="ARIAL" w:hAnsi="ARIAL"/>
                          <w:b/>
                          <w:sz w:val="14"/>
                        </w:rPr>
                        <w:t xml:space="preserve">The Board of Directors recommends you vote FOR the following: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75"/>
                        <w:gridCol w:w="530"/>
                        <w:gridCol w:w="1325"/>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r>
                              <w:rPr/>
                              <w:t>1.</w:t>
                            </w:r>
                          </w:p>
                        </w:tc>
                        <w:tc>
                          <w:tcPr>
                            <w:tcW w:w="1325" w:type="dxa"/>
                            <w:tcBorders/>
                            <w:vAlign w:val="center"/>
                          </w:tcPr>
                          <w:p>
                            <w:pPr>
                              <w:pStyle w:val="TableContents"/>
                              <w:bidi w:val="0"/>
                              <w:spacing w:before="0" w:after="0"/>
                              <w:jc w:val="both"/>
                              <w:rPr>
                                <w:rFonts w:ascii="ARIAL" w:hAnsi="ARIAL"/>
                                <w:sz w:val="14"/>
                              </w:rPr>
                            </w:pPr>
                            <w:r>
                              <w:rPr>
                                <w:rFonts w:ascii="ARIAL" w:hAnsi="ARIAL"/>
                                <w:sz w:val="14"/>
                              </w:rPr>
                              <w:t xml:space="preserve">Election of Directors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35" w:type="dxa"/>
                        <w:jc w:val="left"/>
                        <w:tblInd w:w="0" w:type="dxa"/>
                        <w:tblLayout w:type="fixed"/>
                        <w:tblCellMar>
                          <w:top w:w="0" w:type="dxa"/>
                          <w:left w:w="0" w:type="dxa"/>
                          <w:bottom w:w="0" w:type="dxa"/>
                          <w:right w:w="0" w:type="dxa"/>
                        </w:tblCellMar>
                      </w:tblPr>
                      <w:tblGrid>
                        <w:gridCol w:w="2030"/>
                        <w:gridCol w:w="60"/>
                        <w:gridCol w:w="395"/>
                        <w:gridCol w:w="60"/>
                        <w:gridCol w:w="800"/>
                        <w:gridCol w:w="60"/>
                        <w:gridCol w:w="830"/>
                      </w:tblGrid>
                      <w:tr>
                        <w:trPr/>
                        <w:tc>
                          <w:tcPr>
                            <w:tcW w:w="2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283"/>
                              <w:jc w:val="left"/>
                              <w:rPr/>
                            </w:pPr>
                            <w:r>
                              <w:rPr/>
                              <w:t>       </w:t>
                            </w:r>
                            <w:r>
                              <w:rPr>
                                <w:b/>
                              </w:rPr>
                              <w:t>Nominees: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b/>
                              </w:rPr>
                            </w:pPr>
                            <w:r>
                              <w:rPr>
                                <w:b/>
                              </w:rPr>
                              <w:t>Abstain</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1a.  Waleed H. Hassanein, M.D.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1b.   James R. Tobin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1c.   Edward M. Basile</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1d.  Thomas J. Gunderson</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1e.  Edwin M. Kania, Jr.</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1f.   Stephanie Lovell</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1g.  Merilee Raines</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r>
                        <w:trPr/>
                        <w:tc>
                          <w:tcPr>
                            <w:tcW w:w="203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bidi w:val="0"/>
                              <w:spacing w:before="0" w:after="0"/>
                              <w:jc w:val="left"/>
                              <w:rPr>
                                <w:rFonts w:ascii="ARIAL" w:hAnsi="ARIAL"/>
                                <w:sz w:val="14"/>
                              </w:rPr>
                            </w:pPr>
                            <w:r>
                              <w:rPr>
                                <w:rFonts w:ascii="ARIAL" w:hAnsi="ARIAL"/>
                                <w:sz w:val="14"/>
                              </w:rPr>
                              <w:t>1h.  David Weill, M.D.</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75000" cy="4448810"/>
                <wp:effectExtent l="0" t="0" r="0" b="0"/>
                <wp:wrapSquare wrapText="right"/>
                <wp:docPr id="35" name="Frame6"/>
                <a:graphic xmlns:a="http://schemas.openxmlformats.org/drawingml/2006/main">
                  <a:graphicData uri="http://schemas.microsoft.com/office/word/2010/wordprocessingShape">
                    <wps:wsp>
                      <wps:cNvSpPr txBox="1"/>
                      <wps:spPr>
                        <a:xfrm>
                          <a:off x="0" y="0"/>
                          <a:ext cx="3175000" cy="4448810"/>
                        </a:xfrm>
                        <a:prstGeom prst="rect"/>
                        <a:solidFill>
                          <a:srgbClr val="FFFFFF"/>
                        </a:solidFill>
                      </wps:spPr>
                      <wps:txbx>
                        <w:txbxContent>
                          <w:p>
                            <w:pPr>
                              <w:pStyle w:val="TextBody"/>
                              <w:bidi w:val="0"/>
                              <w:spacing w:before="0" w:after="0"/>
                              <w:jc w:val="left"/>
                              <w:rPr/>
                            </w:pPr>
                            <w:r>
                              <w:rPr/>
                              <w:t> </w:t>
                            </w:r>
                          </w:p>
                          <w:tbl>
                            <w:tblPr>
                              <w:tblW w:w="1056" w:type="dxa"/>
                              <w:jc w:val="left"/>
                              <w:tblInd w:w="0" w:type="dxa"/>
                              <w:tblLayout w:type="fixed"/>
                              <w:tblCellMar>
                                <w:top w:w="0" w:type="dxa"/>
                                <w:left w:w="0" w:type="dxa"/>
                                <w:bottom w:w="0" w:type="dxa"/>
                                <w:right w:w="0" w:type="dxa"/>
                              </w:tblCellMar>
                            </w:tblPr>
                            <w:tblGrid>
                              <w:gridCol w:w="38"/>
                              <w:gridCol w:w="120"/>
                              <w:gridCol w:w="74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74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gridSpan w:val="2"/>
                                  <w:tcBorders>
                                    <w:right w:val="single" w:sz="16" w:space="0" w:color="000000"/>
                                  </w:tcBorders>
                                  <w:tcMar>
                                    <w:right w:w="28" w:type="dxa"/>
                                  </w:tcMar>
                                  <w:vAlign w:val="center"/>
                                </w:tcPr>
                                <w:p>
                                  <w:pPr>
                                    <w:pStyle w:val="TableContents"/>
                                    <w:bidi w:val="0"/>
                                    <w:spacing w:before="0" w:after="283"/>
                                    <w:jc w:val="left"/>
                                    <w:rPr/>
                                  </w:pPr>
                                  <w:r>
                                    <w:rPr/>
                                    <w:t> </w:t>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0" w:type="dxa"/>
                                  <w:tcBorders>
                                    <w:right w:val="single" w:sz="1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8"/>
                              <w:gridCol w:w="60"/>
                              <w:gridCol w:w="7324"/>
                              <w:gridCol w:w="60"/>
                              <w:gridCol w:w="65"/>
                              <w:gridCol w:w="60"/>
                              <w:gridCol w:w="395"/>
                              <w:gridCol w:w="60"/>
                              <w:gridCol w:w="800"/>
                              <w:gridCol w:w="60"/>
                              <w:gridCol w:w="903"/>
                            </w:tblGrid>
                            <w:tr>
                              <w:trPr/>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w:t>
                                    <w:br/>
                                    <w:t>FOR the following proposals: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b/>
                                    </w:rPr>
                                  </w:pPr>
                                  <w:r>
                                    <w:rPr>
                                      <w:b/>
                                    </w:rPr>
                                    <w:t>Abstain </w:t>
                                  </w:r>
                                </w:p>
                              </w:tc>
                            </w:tr>
                            <w:tr>
                              <w:trPr/>
                              <w:tc>
                                <w:tcPr>
                                  <w:tcW w:w="418" w:type="dxa"/>
                                  <w:tcBorders/>
                                  <w:vAlign w:val="center"/>
                                </w:tcPr>
                                <w:p>
                                  <w:pPr>
                                    <w:pStyle w:val="TableContents"/>
                                    <w:bidi w:val="0"/>
                                    <w:spacing w:before="0" w:after="283"/>
                                    <w:jc w:val="left"/>
                                    <w:rPr>
                                      <w:sz w:val="4"/>
                                      <w:szCs w:val="4"/>
                                    </w:rPr>
                                  </w:pPr>
                                  <w:r>
                                    <w:rPr>
                                      <w:sz w:val="4"/>
                                      <w:szCs w:val="4"/>
                                    </w:rPr>
                                  </w:r>
                                </w:p>
                              </w:tc>
                              <w:tc>
                                <w:tcPr>
                                  <w:tcW w:w="7384" w:type="dxa"/>
                                  <w:gridSpan w:val="2"/>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0"/>
                                    <w:jc w:val="left"/>
                                    <w:rPr>
                                      <w:rFonts w:ascii="ARIAL" w:hAnsi="ARIAL"/>
                                      <w:sz w:val="14"/>
                                    </w:rPr>
                                  </w:pPr>
                                  <w:r>
                                    <w:rPr>
                                      <w:rFonts w:ascii="ARIAL" w:hAnsi="ARIAL"/>
                                      <w:sz w:val="14"/>
                                    </w:rPr>
                                    <w:t>2.</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sz w:val="14"/>
                                    </w:rPr>
                                  </w:pPr>
                                  <w:r>
                                    <w:rPr>
                                      <w:rFonts w:ascii="ARIAL" w:hAnsi="ARIAL"/>
                                      <w:sz w:val="14"/>
                                    </w:rPr>
                                    <w:t>To approve, on a non-binding advisory basis, the compensation paid to TransMedics' named executive officers.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w:t>
                                  </w:r>
                                </w:p>
                              </w:tc>
                            </w:tr>
                            <w:tr>
                              <w:trPr/>
                              <w:tc>
                                <w:tcPr>
                                  <w:tcW w:w="418" w:type="dxa"/>
                                  <w:tcBorders/>
                                  <w:vAlign w:val="center"/>
                                </w:tcPr>
                                <w:p>
                                  <w:pPr>
                                    <w:pStyle w:val="TableContents"/>
                                    <w:bidi w:val="0"/>
                                    <w:spacing w:before="0" w:after="283"/>
                                    <w:jc w:val="left"/>
                                    <w:rPr>
                                      <w:sz w:val="4"/>
                                      <w:szCs w:val="4"/>
                                    </w:rPr>
                                  </w:pPr>
                                  <w:r>
                                    <w:rPr>
                                      <w:sz w:val="4"/>
                                      <w:szCs w:val="4"/>
                                    </w:rPr>
                                  </w:r>
                                </w:p>
                              </w:tc>
                              <w:tc>
                                <w:tcPr>
                                  <w:tcW w:w="7384" w:type="dxa"/>
                                  <w:gridSpan w:val="2"/>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0"/>
                                    <w:jc w:val="left"/>
                                    <w:rPr>
                                      <w:rFonts w:ascii="ARIAL" w:hAnsi="ARIAL"/>
                                      <w:sz w:val="14"/>
                                    </w:rPr>
                                  </w:pPr>
                                  <w:r>
                                    <w:rPr>
                                      <w:rFonts w:ascii="ARIAL" w:hAnsi="ARIAL"/>
                                      <w:sz w:val="14"/>
                                    </w:rPr>
                                    <w:t>3.</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sz w:val="14"/>
                                    </w:rPr>
                                  </w:pPr>
                                  <w:r>
                                    <w:rPr>
                                      <w:rFonts w:ascii="ARIAL" w:hAnsi="ARIAL"/>
                                      <w:sz w:val="14"/>
                                    </w:rPr>
                                    <w:t>To ratify the appointment of PricewaterhouseCoopers LLP as TransMedics Group, Inc.'s independent registered public accounting firm for the fiscal year ending December 31, 2025.</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w:t>
                                  </w:r>
                                </w:p>
                              </w:tc>
                            </w:tr>
                            <w:tr>
                              <w:trPr/>
                              <w:tc>
                                <w:tcPr>
                                  <w:tcW w:w="7802" w:type="dxa"/>
                                  <w:gridSpan w:val="3"/>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7802" w:type="dxa"/>
                                  <w:gridSpan w:val="3"/>
                                  <w:tcBorders/>
                                  <w:vAlign w:val="center"/>
                                </w:tcPr>
                                <w:p>
                                  <w:pPr>
                                    <w:pStyle w:val="TableContents"/>
                                    <w:bidi w:val="0"/>
                                    <w:spacing w:before="0" w:after="0"/>
                                    <w:jc w:val="both"/>
                                    <w:rPr>
                                      <w:rFonts w:ascii="ARIAL" w:hAnsi="ARIAL"/>
                                      <w:sz w:val="14"/>
                                    </w:rPr>
                                  </w:pPr>
                                  <w:r>
                                    <w:rPr>
                                      <w:rFonts w:ascii="ARIAL" w:hAnsi="ARIAL"/>
                                      <w:b/>
                                      <w:sz w:val="14"/>
                                    </w:rPr>
                                    <w:t>NOTE:</w:t>
                                  </w:r>
                                  <w:r>
                                    <w:rPr>
                                      <w:rFonts w:ascii="ARIAL" w:hAnsi="ARIAL"/>
                                      <w:sz w:val="14"/>
                                    </w:rPr>
                                    <w:t xml:space="preserve"> 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0.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1056" w:type="dxa"/>
                        <w:jc w:val="left"/>
                        <w:tblInd w:w="0" w:type="dxa"/>
                        <w:tblLayout w:type="fixed"/>
                        <w:tblCellMar>
                          <w:top w:w="0" w:type="dxa"/>
                          <w:left w:w="0" w:type="dxa"/>
                          <w:bottom w:w="0" w:type="dxa"/>
                          <w:right w:w="0" w:type="dxa"/>
                        </w:tblCellMar>
                      </w:tblPr>
                      <w:tblGrid>
                        <w:gridCol w:w="38"/>
                        <w:gridCol w:w="120"/>
                        <w:gridCol w:w="74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op w:val="single" w:sz="16" w:space="0" w:color="000000"/>
                            </w:tcBorders>
                            <w:tcMar>
                              <w:top w:w="28" w:type="dxa"/>
                            </w:tcMar>
                            <w:vAlign w:val="center"/>
                          </w:tcPr>
                          <w:p>
                            <w:pPr>
                              <w:pStyle w:val="TableContents"/>
                              <w:bidi w:val="0"/>
                              <w:spacing w:before="0" w:after="283"/>
                              <w:jc w:val="left"/>
                              <w:rPr/>
                            </w:pPr>
                            <w:r>
                              <w:rPr/>
                              <w:t>  </w:t>
                            </w:r>
                          </w:p>
                        </w:tc>
                        <w:tc>
                          <w:tcPr>
                            <w:tcW w:w="74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gridSpan w:val="2"/>
                            <w:tcBorders>
                              <w:right w:val="single" w:sz="16" w:space="0" w:color="000000"/>
                            </w:tcBorders>
                            <w:tcMar>
                              <w:right w:w="28" w:type="dxa"/>
                            </w:tcMar>
                            <w:vAlign w:val="center"/>
                          </w:tcPr>
                          <w:p>
                            <w:pPr>
                              <w:pStyle w:val="TableContents"/>
                              <w:bidi w:val="0"/>
                              <w:spacing w:before="0" w:after="283"/>
                              <w:jc w:val="left"/>
                              <w:rPr/>
                            </w:pPr>
                            <w:r>
                              <w:rPr/>
                              <w:t> </w:t>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40" w:type="dxa"/>
                            <w:tcBorders>
                              <w:right w:val="single" w:sz="1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8"/>
                        <w:gridCol w:w="60"/>
                        <w:gridCol w:w="7324"/>
                        <w:gridCol w:w="60"/>
                        <w:gridCol w:w="65"/>
                        <w:gridCol w:w="60"/>
                        <w:gridCol w:w="395"/>
                        <w:gridCol w:w="60"/>
                        <w:gridCol w:w="800"/>
                        <w:gridCol w:w="60"/>
                        <w:gridCol w:w="903"/>
                      </w:tblGrid>
                      <w:tr>
                        <w:trPr/>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w:t>
                              <w:br/>
                              <w:t>FOR the following proposals: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b/>
                              </w:rPr>
                            </w:pPr>
                            <w:r>
                              <w:rPr>
                                <w:b/>
                              </w:rPr>
                              <w:t>Abstain </w:t>
                            </w:r>
                          </w:p>
                        </w:tc>
                      </w:tr>
                      <w:tr>
                        <w:trPr/>
                        <w:tc>
                          <w:tcPr>
                            <w:tcW w:w="418" w:type="dxa"/>
                            <w:tcBorders/>
                            <w:vAlign w:val="center"/>
                          </w:tcPr>
                          <w:p>
                            <w:pPr>
                              <w:pStyle w:val="TableContents"/>
                              <w:bidi w:val="0"/>
                              <w:spacing w:before="0" w:after="283"/>
                              <w:jc w:val="left"/>
                              <w:rPr>
                                <w:sz w:val="4"/>
                                <w:szCs w:val="4"/>
                              </w:rPr>
                            </w:pPr>
                            <w:r>
                              <w:rPr>
                                <w:sz w:val="4"/>
                                <w:szCs w:val="4"/>
                              </w:rPr>
                            </w:r>
                          </w:p>
                        </w:tc>
                        <w:tc>
                          <w:tcPr>
                            <w:tcW w:w="7384" w:type="dxa"/>
                            <w:gridSpan w:val="2"/>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0"/>
                              <w:jc w:val="left"/>
                              <w:rPr>
                                <w:rFonts w:ascii="ARIAL" w:hAnsi="ARIAL"/>
                                <w:sz w:val="14"/>
                              </w:rPr>
                            </w:pPr>
                            <w:r>
                              <w:rPr>
                                <w:rFonts w:ascii="ARIAL" w:hAnsi="ARIAL"/>
                                <w:sz w:val="14"/>
                              </w:rPr>
                              <w:t>2.</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sz w:val="14"/>
                              </w:rPr>
                            </w:pPr>
                            <w:r>
                              <w:rPr>
                                <w:rFonts w:ascii="ARIAL" w:hAnsi="ARIAL"/>
                                <w:sz w:val="14"/>
                              </w:rPr>
                              <w:t>To approve, on a non-binding advisory basis, the compensation paid to TransMedics' named executive officers.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both"/>
                              <w:rPr/>
                            </w:pPr>
                            <w:r>
                              <w:rPr/>
                              <w:t> </w:t>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w:t>
                            </w:r>
                          </w:p>
                        </w:tc>
                      </w:tr>
                      <w:tr>
                        <w:trPr/>
                        <w:tc>
                          <w:tcPr>
                            <w:tcW w:w="418" w:type="dxa"/>
                            <w:tcBorders/>
                            <w:vAlign w:val="center"/>
                          </w:tcPr>
                          <w:p>
                            <w:pPr>
                              <w:pStyle w:val="TableContents"/>
                              <w:bidi w:val="0"/>
                              <w:spacing w:before="0" w:after="283"/>
                              <w:jc w:val="left"/>
                              <w:rPr>
                                <w:sz w:val="4"/>
                                <w:szCs w:val="4"/>
                              </w:rPr>
                            </w:pPr>
                            <w:r>
                              <w:rPr>
                                <w:sz w:val="4"/>
                                <w:szCs w:val="4"/>
                              </w:rPr>
                            </w:r>
                          </w:p>
                        </w:tc>
                        <w:tc>
                          <w:tcPr>
                            <w:tcW w:w="7384" w:type="dxa"/>
                            <w:gridSpan w:val="2"/>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418" w:type="dxa"/>
                            <w:tcBorders/>
                            <w:vAlign w:val="center"/>
                          </w:tcPr>
                          <w:p>
                            <w:pPr>
                              <w:pStyle w:val="TableContents"/>
                              <w:bidi w:val="0"/>
                              <w:spacing w:before="0" w:after="0"/>
                              <w:jc w:val="left"/>
                              <w:rPr>
                                <w:rFonts w:ascii="ARIAL" w:hAnsi="ARIAL"/>
                                <w:sz w:val="14"/>
                              </w:rPr>
                            </w:pPr>
                            <w:r>
                              <w:rPr>
                                <w:rFonts w:ascii="ARIAL" w:hAnsi="ARIAL"/>
                                <w:sz w:val="14"/>
                              </w:rPr>
                              <w:t>3.</w:t>
                            </w:r>
                          </w:p>
                        </w:tc>
                        <w:tc>
                          <w:tcPr>
                            <w:tcW w:w="60" w:type="dxa"/>
                            <w:tcBorders/>
                            <w:vAlign w:val="center"/>
                          </w:tcPr>
                          <w:p>
                            <w:pPr>
                              <w:pStyle w:val="TableContents"/>
                              <w:bidi w:val="0"/>
                              <w:spacing w:before="0" w:after="283"/>
                              <w:jc w:val="left"/>
                              <w:rPr/>
                            </w:pPr>
                            <w:r>
                              <w:rPr/>
                              <w:t> </w:t>
                            </w:r>
                          </w:p>
                        </w:tc>
                        <w:tc>
                          <w:tcPr>
                            <w:tcW w:w="7324" w:type="dxa"/>
                            <w:tcBorders/>
                            <w:vAlign w:val="center"/>
                          </w:tcPr>
                          <w:p>
                            <w:pPr>
                              <w:pStyle w:val="TableContents"/>
                              <w:bidi w:val="0"/>
                              <w:spacing w:before="0" w:after="0"/>
                              <w:jc w:val="both"/>
                              <w:rPr>
                                <w:rFonts w:ascii="ARIAL" w:hAnsi="ARIAL"/>
                                <w:sz w:val="14"/>
                              </w:rPr>
                            </w:pPr>
                            <w:r>
                              <w:rPr>
                                <w:rFonts w:ascii="ARIAL" w:hAnsi="ARIAL"/>
                                <w:sz w:val="14"/>
                              </w:rPr>
                              <w:t>To ratify the appointment of PricewaterhouseCoopers LLP as TransMedics Group, Inc.'s independent registered public accounting firm for the fiscal year ending December 31, 2025.</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w:t>
                            </w:r>
                          </w:p>
                        </w:tc>
                      </w:tr>
                      <w:tr>
                        <w:trPr/>
                        <w:tc>
                          <w:tcPr>
                            <w:tcW w:w="7802" w:type="dxa"/>
                            <w:gridSpan w:val="3"/>
                            <w:tcBorders/>
                            <w:vAlign w:val="center"/>
                          </w:tcPr>
                          <w:p>
                            <w:pPr>
                              <w:pStyle w:val="TableContents"/>
                              <w:bidi w:val="0"/>
                              <w:spacing w:before="0" w:after="283"/>
                              <w:jc w:val="left"/>
                              <w:rPr>
                                <w:sz w:val="4"/>
                                <w:szCs w:val="4"/>
                              </w:rPr>
                            </w:pPr>
                            <w:r>
                              <w:rPr>
                                <w:sz w:val="4"/>
                                <w:szCs w:val="4"/>
                              </w:rPr>
                            </w:r>
                          </w:p>
                        </w:tc>
                        <w:tc>
                          <w:tcPr>
                            <w:tcW w:w="12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3" w:type="dxa"/>
                            <w:gridSpan w:val="2"/>
                            <w:tcBorders/>
                            <w:vAlign w:val="center"/>
                          </w:tcPr>
                          <w:p>
                            <w:pPr>
                              <w:pStyle w:val="TableContents"/>
                              <w:bidi w:val="0"/>
                              <w:spacing w:before="0" w:after="283"/>
                              <w:jc w:val="left"/>
                              <w:rPr>
                                <w:sz w:val="4"/>
                                <w:szCs w:val="4"/>
                              </w:rPr>
                            </w:pPr>
                            <w:r>
                              <w:rPr>
                                <w:sz w:val="4"/>
                                <w:szCs w:val="4"/>
                              </w:rPr>
                            </w:r>
                          </w:p>
                        </w:tc>
                      </w:tr>
                      <w:tr>
                        <w:trPr/>
                        <w:tc>
                          <w:tcPr>
                            <w:tcW w:w="7802" w:type="dxa"/>
                            <w:gridSpan w:val="3"/>
                            <w:tcBorders/>
                            <w:vAlign w:val="center"/>
                          </w:tcPr>
                          <w:p>
                            <w:pPr>
                              <w:pStyle w:val="TableContents"/>
                              <w:bidi w:val="0"/>
                              <w:spacing w:before="0" w:after="0"/>
                              <w:jc w:val="both"/>
                              <w:rPr>
                                <w:rFonts w:ascii="ARIAL" w:hAnsi="ARIAL"/>
                                <w:sz w:val="14"/>
                              </w:rPr>
                            </w:pPr>
                            <w:r>
                              <w:rPr>
                                <w:rFonts w:ascii="ARIAL" w:hAnsi="ARIAL"/>
                                <w:b/>
                                <w:sz w:val="14"/>
                              </w:rPr>
                              <w:t>NOTE:</w:t>
                            </w:r>
                            <w:r>
                              <w:rPr>
                                <w:rFonts w:ascii="ARIAL" w:hAnsi="ARIAL"/>
                                <w:sz w:val="14"/>
                              </w:rPr>
                              <w:t xml:space="preserve"> Such other business as may properly come before the meeting or any adjournment thereof.</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both"/>
        <w:rPr>
          <w:rFonts w:ascii="ARIAL" w:hAnsi="ARIAL"/>
          <w:sz w:val="14"/>
          <w:bdr w:val="single" w:sz="16" w:space="2" w:color="000000"/>
        </w:rPr>
      </w:pPr>
      <w:r>
        <w:rPr>
          <w:rFonts w:ascii="ARIAL" w:hAnsi="ARIAL"/>
          <w:sz w:val="14"/>
          <w:bdr w:val="single" w:sz="16" w:space="2" w:color="000000"/>
        </w:rPr>
        <w:t xml:space="preserve">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p>
    <w:p>
      <w:pPr>
        <w:pStyle w:val="TextBody"/>
        <w:bidi w:val="0"/>
        <w:spacing w:before="0" w:after="0"/>
        <w:jc w:val="left"/>
        <w:rPr>
          <w:bdr w:val="single" w:sz="16" w:space="2" w:color="000000"/>
        </w:rPr>
      </w:pPr>
      <w:r>
        <w:rPr>
          <w:bdr w:val="single" w:sz="16" w:space="2" w:color="000000"/>
        </w:rPr>
        <w:t> </w:t>
      </w:r>
    </w:p>
    <w:tbl>
      <w:tblPr>
        <w:tblW w:w="1206" w:type="dxa"/>
        <w:jc w:val="left"/>
        <w:tblInd w:w="0" w:type="dxa"/>
        <w:tblLayout w:type="fixed"/>
        <w:tblCellMar>
          <w:top w:w="0" w:type="dxa"/>
          <w:left w:w="0" w:type="dxa"/>
          <w:bottom w:w="0" w:type="dxa"/>
          <w:right w:w="0" w:type="dxa"/>
        </w:tblCellMar>
      </w:tblPr>
      <w:tblGrid>
        <w:gridCol w:w="245"/>
        <w:gridCol w:w="60"/>
        <w:gridCol w:w="60"/>
        <w:gridCol w:w="120"/>
        <w:gridCol w:w="60"/>
        <w:gridCol w:w="120"/>
        <w:gridCol w:w="23"/>
        <w:gridCol w:w="120"/>
        <w:gridCol w:w="60"/>
        <w:gridCol w:w="120"/>
        <w:gridCol w:w="60"/>
        <w:gridCol w:w="120"/>
        <w:gridCol w:w="38"/>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12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80"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143" w:type="dxa"/>
            <w:gridSpan w:val="2"/>
            <w:tcBorders/>
            <w:vAlign w:val="center"/>
          </w:tcPr>
          <w:p>
            <w:pPr>
              <w:pStyle w:val="TableContents"/>
              <w:bidi w:val="0"/>
              <w:spacing w:before="0" w:after="283"/>
              <w:jc w:val="left"/>
              <w:rPr>
                <w:sz w:val="4"/>
                <w:szCs w:val="4"/>
              </w:rPr>
            </w:pPr>
            <w:r>
              <w:rPr>
                <w:sz w:val="4"/>
                <w:szCs w:val="4"/>
              </w:rPr>
            </w:r>
          </w:p>
        </w:tc>
        <w:tc>
          <w:tcPr>
            <w:tcW w:w="18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180" w:type="dxa"/>
            <w:gridSpan w:val="2"/>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158"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9026" w:type="dxa"/>
        <w:jc w:val="left"/>
        <w:tblInd w:w="0" w:type="dxa"/>
        <w:tblLayout w:type="fixed"/>
        <w:tblCellMar>
          <w:top w:w="0" w:type="dxa"/>
          <w:left w:w="0" w:type="dxa"/>
          <w:bottom w:w="0" w:type="dxa"/>
          <w:right w:w="0" w:type="dxa"/>
        </w:tblCellMar>
      </w:tblPr>
      <w:tblGrid>
        <w:gridCol w:w="2795"/>
        <w:gridCol w:w="60"/>
        <w:gridCol w:w="710"/>
        <w:gridCol w:w="120"/>
        <w:gridCol w:w="1550"/>
        <w:gridCol w:w="1550"/>
        <w:gridCol w:w="1553"/>
        <w:gridCol w:w="60"/>
        <w:gridCol w:w="470"/>
        <w:gridCol w:w="120"/>
        <w:gridCol w:w="38"/>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0"/>
              <w:jc w:val="left"/>
              <w:rPr/>
            </w:pPr>
            <w:r>
              <w:rPr/>
              <w:t>     </w:t>
            </w:r>
            <w:r>
              <w:rPr>
                <w:rFonts w:ascii="ARIAL" w:hAnsi="ARIAL"/>
                <w:sz w:val="14"/>
              </w:rPr>
              <w:t>Signature [PLEASE SIGN WITHIN BOX]</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r>
              <w:rPr/>
              <w:t>Date</w:t>
            </w:r>
          </w:p>
        </w:tc>
        <w:tc>
          <w:tcPr>
            <w:tcW w:w="120" w:type="dxa"/>
            <w:tcBorders/>
            <w:vAlign w:val="center"/>
          </w:tcPr>
          <w:p>
            <w:pPr>
              <w:pStyle w:val="TableContents"/>
              <w:bidi w:val="0"/>
              <w:spacing w:before="0" w:after="283"/>
              <w:jc w:val="left"/>
              <w:rPr/>
            </w:pPr>
            <w:r>
              <w:rPr/>
              <w:t>  </w:t>
            </w:r>
          </w:p>
        </w:tc>
        <w:tc>
          <w:tcPr>
            <w:tcW w:w="4653" w:type="dxa"/>
            <w:gridSpan w:val="3"/>
            <w:tcBorders/>
            <w:vAlign w:val="center"/>
          </w:tcPr>
          <w:p>
            <w:pPr>
              <w:pStyle w:val="TableContents"/>
              <w:bidi w:val="0"/>
              <w:spacing w:before="0" w:after="0"/>
              <w:jc w:val="left"/>
              <w:rPr/>
            </w:pPr>
            <w:r>
              <w:rPr/>
              <w:t>                   </w:t>
            </w:r>
            <w:r>
              <w:rPr>
                <w:rFonts w:ascii="ARIAL" w:hAnsi="ARIAL"/>
                <w:sz w:val="14"/>
              </w:rPr>
              <w:t>Signature (Joint Owners)</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Date</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1440" w:after="0"/>
        <w:jc w:val="center"/>
        <w:rPr>
          <w:rFonts w:ascii="ARIAL" w:hAnsi="ARIAL"/>
          <w:b/>
          <w:sz w:val="20"/>
        </w:rPr>
      </w:pPr>
      <w:r>
        <w:rPr>
          <w:rFonts w:ascii="ARIAL" w:hAnsi="ARIAL"/>
          <w:b/>
          <w:sz w:val="20"/>
        </w:rPr>
        <w:t xml:space="preserve">Important Notice Regarding the Availability of Proxy Materials for the Annual Meeting: </w:t>
      </w:r>
    </w:p>
    <w:p>
      <w:pPr>
        <w:pStyle w:val="TextBody"/>
        <w:bidi w:val="0"/>
        <w:spacing w:before="0" w:after="0"/>
        <w:jc w:val="center"/>
        <w:rPr>
          <w:rFonts w:ascii="ARIAL" w:hAnsi="ARIAL"/>
          <w:sz w:val="20"/>
        </w:rPr>
      </w:pPr>
      <w:r>
        <w:rPr>
          <w:rFonts w:ascii="ARIAL" w:hAnsi="ARIAL"/>
          <w:sz w:val="20"/>
        </w:rPr>
        <w:t xml:space="preserve">The Notice and Proxy Statement and Form 10-K are available at www.proxyvote.com.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960" w:after="0"/>
        <w:jc w:val="center"/>
        <w:rPr/>
      </w:pPr>
      <w:r>
        <w:rPr/>
        <w:t xml:space="preserve">— — — — — — — — — — — — — — — — — — — — — — — — — — — — — — — — — — — — — — — — — — — — — — — — — — — — —  — — — — — — — — — — — — — — — — — —  </w:t>
      </w:r>
    </w:p>
    <w:p>
      <w:pPr>
        <w:pStyle w:val="TextBody"/>
        <w:bidi w:val="0"/>
        <w:spacing w:before="80" w:after="0"/>
        <w:jc w:val="right"/>
        <w:rPr>
          <w:rFonts w:ascii="ARIAL" w:hAnsi="ARIAL"/>
          <w:sz w:val="14"/>
        </w:rPr>
      </w:pPr>
      <w:r>
        <w:rPr>
          <w:rFonts w:ascii="ARIAL" w:hAnsi="ARIAL"/>
          <w:sz w:val="14"/>
        </w:rPr>
        <w:t xml:space="preserve">V68034-P28374   </w:t>
      </w:r>
    </w:p>
    <w:p>
      <w:pPr>
        <w:pStyle w:val="TextBody"/>
        <w:bidi w:val="0"/>
        <w:spacing w:before="0" w:after="0"/>
        <w:jc w:val="left"/>
        <w:rPr/>
      </w:pPr>
      <w:r>
        <w:rPr/>
        <w:t> </w:t>
      </w:r>
    </w:p>
    <w:p>
      <w:pPr>
        <w:pStyle w:val="TextBody"/>
        <w:bidi w:val="0"/>
        <w:spacing w:before="0" w:after="0"/>
        <w:jc w:val="left"/>
        <w:rPr>
          <w:bdr w:val="single" w:sz="16" w:space="2" w:color="000000"/>
        </w:rPr>
      </w:pPr>
      <w:r>
        <w:rPr>
          <w:bdr w:val="single" w:sz="16" w:space="2" w:color="000000"/>
        </w:rPr>
        <w:t> </w:t>
      </w:r>
    </w:p>
    <w:p>
      <w:pPr>
        <w:pStyle w:val="TextBody"/>
        <w:pBdr/>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TRANSMEDICS GROUP, INC.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Annual Meeting of Shareholders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May 22, 2025 8:00 A.M. Eastern Time </w:t>
      </w:r>
    </w:p>
    <w:p>
      <w:pPr>
        <w:pStyle w:val="TextBody"/>
        <w:bidi w:val="0"/>
        <w:spacing w:before="0" w:after="0"/>
        <w:jc w:val="center"/>
        <w:rPr>
          <w:rFonts w:ascii="ARIAL" w:hAnsi="ARIAL"/>
          <w:b/>
          <w:sz w:val="24"/>
          <w:bdr w:val="single" w:sz="16" w:space="2" w:color="000000"/>
        </w:rPr>
      </w:pPr>
      <w:r>
        <w:rPr>
          <w:rFonts w:ascii="ARIAL" w:hAnsi="ARIAL"/>
          <w:b/>
          <w:sz w:val="24"/>
          <w:bdr w:val="single" w:sz="16" w:space="2" w:color="000000"/>
        </w:rPr>
        <w:t xml:space="preserve">This proxy is solicited by the Board of Directors </w:t>
      </w:r>
    </w:p>
    <w:p>
      <w:pPr>
        <w:pStyle w:val="TextBody"/>
        <w:bidi w:val="0"/>
        <w:spacing w:before="240" w:after="0"/>
        <w:jc w:val="both"/>
        <w:rPr>
          <w:rFonts w:ascii="ARIAL" w:hAnsi="ARIAL"/>
          <w:sz w:val="20"/>
          <w:bdr w:val="single" w:sz="16" w:space="2" w:color="000000"/>
        </w:rPr>
      </w:pPr>
      <w:r>
        <w:rPr>
          <w:rFonts w:ascii="ARIAL" w:hAnsi="ARIAL"/>
          <w:sz w:val="20"/>
          <w:bdr w:val="single" w:sz="16" w:space="2" w:color="000000"/>
        </w:rPr>
        <w:t xml:space="preserve">The shareholder hereby appoints Waleed H. Hassanein, M.D. and Gerardo Hernandez, or either of them, as proxies, each with the power to appoint his substitute, and hereby authorizes them to represent and to vote, as designated on the reverse side of this ballot, all of the shares of common stock of TRANSMEDICS GROUP, INC. that the shareholder is entitled to vote at the Annual Meeting of Shareholders to be held at 8:00 A.M., Eastern Time on May 22, 2025, at www.virtualshareholdermeeting.com/TMDX2025 and any adjournment or postponement thereof. </w:t>
      </w:r>
    </w:p>
    <w:p>
      <w:pPr>
        <w:pStyle w:val="TextBody"/>
        <w:bidi w:val="0"/>
        <w:spacing w:before="240" w:after="0"/>
        <w:jc w:val="both"/>
        <w:rPr>
          <w:rFonts w:ascii="ARIAL" w:hAnsi="ARIAL"/>
          <w:b/>
          <w:sz w:val="20"/>
          <w:bdr w:val="single" w:sz="16" w:space="2" w:color="000000"/>
        </w:rPr>
      </w:pPr>
      <w:r>
        <w:rPr>
          <w:rFonts w:ascii="ARIAL" w:hAnsi="ARIAL"/>
          <w:b/>
          <w:sz w:val="20"/>
          <w:bdr w:val="single" w:sz="16" w:space="2" w:color="000000"/>
        </w:rPr>
        <w:t xml:space="preserve">This proxy, when properly executed, will be voted in the manner directed herein. If no such direction is made, this proxy will be voted in accordance with the Board of Directors' recommendations. </w:t>
      </w:r>
    </w:p>
    <w:p>
      <w:pPr>
        <w:pStyle w:val="TextBody"/>
        <w:pBdr/>
        <w:bidi w:val="0"/>
        <w:spacing w:before="1600" w:after="0"/>
        <w:jc w:val="center"/>
        <w:rPr>
          <w:rFonts w:ascii="ARIAL" w:hAnsi="ARIAL"/>
          <w:b/>
          <w:sz w:val="20"/>
          <w:bdr w:val="single" w:sz="16" w:space="2" w:color="000000"/>
        </w:rPr>
      </w:pPr>
      <w:r>
        <w:rPr>
          <w:rFonts w:ascii="ARIAL" w:hAnsi="ARIAL"/>
          <w:b/>
          <w:sz w:val="20"/>
          <w:bdr w:val="single" w:sz="16" w:space="2" w:color="000000"/>
        </w:rPr>
        <w:t xml:space="preserve">Continued and to be signed on reverse side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1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30792</Words>
  <Characters>170073</Characters>
  <CharactersWithSpaces>205005</CharactersWithSpaces>
  <Paragraphs>7100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