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TransMedics Group,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799"/>
              <w:spacing w:after="0"/>
              <w:rPr>
                <w:sz w:val="20"/>
                <w:szCs w:val="20"/>
                <w:color w:val="auto"/>
              </w:rPr>
            </w:pPr>
            <w:r>
              <w:rPr>
                <w:rFonts w:ascii="Arial" w:cs="Arial" w:eastAsia="Arial" w:hAnsi="Arial"/>
                <w:sz w:val="18"/>
                <w:szCs w:val="18"/>
                <w:b w:val="1"/>
                <w:bCs w:val="1"/>
                <w:color w:val="auto"/>
                <w:w w:val="85"/>
              </w:rPr>
              <w:t>Massachusetts</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001-38891</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83-2181531</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200 Minuteman Road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6"/>
              </w:rPr>
              <w:t>Andover,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01810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(978) 552-0900</w:t>
      </w:r>
    </w:p>
    <w:p>
      <w:pPr>
        <w:spacing w:after="0" w:line="19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TMDX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Arial" w:cs="Arial" w:eastAsia="Arial" w:hAnsi="Arial"/>
          <w:sz w:val="18"/>
          <w:szCs w:val="18"/>
          <w:b w:val="1"/>
          <w:bCs w:val="1"/>
          <w:color w:val="auto"/>
        </w:rPr>
        <w:t>Completion of Acquisition or Disposition of Assets.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previously disclosed in a Current Report on Form 8-K filed by TransMedics Group, Inc. (the “Company”) on September 5, 2023 and a Current Report on Form 8-K filed by the Company on September 12, 2023 (together, the “Prior Reports”), TransMedics, Inc. (the “Buyer”), a Delaware corporation and wholly-owned subsidiary of the Company, acquired six fixed-wing aircraft (collectively, the “Prior Acquisitions”) as more specifically described in the Prior Reports. Subsequently, on September 21, 2023, the Buyer acquired a fixed-wing aircraft from FW Equipment Leasing, LLC for a purchase price of approximately $13.4 million (the “Seventh Acquisition”), and, on September 22, 2023, the Buyer acquired a fixed-wing aircraft from Ikarus Aviation GmbH for a purchase price of approximately $11.8 million (the “Eighth Acquisition” and, together with the Prior Acquisitions and the Seventh Acquisition, the “Acquisitions”). The Company intends to use each of the eight aircraft it has acquired to date to transport donor organs as part of the services offered under the Company’s National OCS Program, and for purposes of this Current Report on Form 8-K the Company considers the Acquisitions to be a series of related transactions with respect to the acquisition of a fleet of aircraft for use in the Company’s National OCS Program.</w:t>
      </w:r>
    </w:p>
    <w:p>
      <w:pPr>
        <w:sectPr>
          <w:pgSz w:w="11900" w:h="16838" w:orient="portrait"/>
          <w:cols w:equalWidth="0" w:num="1">
            <w:col w:w="10900"/>
          </w:cols>
          <w:pgMar w:left="440" w:top="297"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TRANSMEDICS GROUP,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September 22, 2023</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Gordon</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Stephen Gordon</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2023-09-22T15:47:29Z</dcterms:created>
  <dcterms:modified xsi:type="dcterms:W3CDTF">2023-09-22T15:47:29Z</dcterms:modified>
</cp:coreProperties>
</file>