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447d8k.htm"/>
      <w:bookmarkStart w:id="1" w:name="ksd11644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TransMedics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83-2181531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200 Minuteman Road</w:t>
      </w:r>
    </w:p>
    <w:p>
      <w:pPr>
        <w:pStyle w:val="TextBody"/>
        <w:bidi w:val="0"/>
        <w:spacing w:before="0" w:after="0"/>
        <w:jc w:val="center"/>
        <w:rPr>
          <w:rFonts w:ascii="Times New Roman" w:hAnsi="Times New Roman"/>
          <w:b/>
          <w:sz w:val="20"/>
        </w:rPr>
      </w:pPr>
      <w:r>
        <w:rPr>
          <w:rFonts w:ascii="Times New Roman" w:hAnsi="Times New Roman"/>
          <w:b/>
          <w:sz w:val="20"/>
        </w:rPr>
        <w:t>Andover, Massachusetts 01810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40" w:after="0"/>
        <w:jc w:val="center"/>
        <w:rPr>
          <w:rFonts w:ascii="Times New Roman" w:hAnsi="Times New Roman"/>
          <w:b/>
          <w:sz w:val="20"/>
        </w:rPr>
      </w:pPr>
      <w:r>
        <w:rPr>
          <w:rFonts w:ascii="Times New Roman" w:hAnsi="Times New Roman"/>
          <w:b/>
          <w:sz w:val="20"/>
        </w:rPr>
        <w:t>(978) 552-0900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725"/>
        <w:gridCol w:w="60"/>
        <w:gridCol w:w="740"/>
        <w:gridCol w:w="60"/>
        <w:gridCol w:w="263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no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TMDX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Transition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Board of Directors (the “Board”) of TransMedics Group, Inc. (the “Company”) appointed Fernando Araujo as Chief Financial Officer and Treasurer, effective as of September 21, 2026. Mr. Araujo will succeed Gerardo Hernandez, who has served as the Company’s Chief Financial Officer since 2024. </w:t>
      </w:r>
    </w:p>
    <w:p>
      <w:pPr>
        <w:pStyle w:val="TextBody"/>
        <w:bidi w:val="0"/>
        <w:spacing w:before="240" w:after="0"/>
        <w:jc w:val="left"/>
        <w:rPr>
          <w:rFonts w:ascii="Times New Roman" w:hAnsi="Times New Roman"/>
          <w:sz w:val="20"/>
        </w:rPr>
      </w:pPr>
      <w:r>
        <w:rPr>
          <w:rFonts w:ascii="Times New Roman" w:hAnsi="Times New Roman"/>
          <w:sz w:val="20"/>
        </w:rPr>
        <w:t xml:space="preserve">Fernando Araujo, age 46, will serve as Chief Financial Officer and Treasurer effective September 21, 2026. Prior to joining TransMedics, from 2023 to 2026, Mr. Araujo served as Chief Financial Officer for GE Health Care’s Advanced Imaging Solutions (a combination of GE Health Care’s Imaging and Advanced Visualization Solutions businesses and associated global integrated Supply Chain and Global Service organizations). Before joining GE HealthCare, Mr. Araujo served as Senior Vice President, Finance at 3M Enterprise Operations from October 2022 to March 2023. Prior to that he held various roles at GE, including Chief Financial Officer, Healthcare US and Canada and Chief Financial Officer, Healthcare Latin America from March 2018 to October 2022. Mr. Araujo holds a Bachelor of Business Administration from Centro Universitario UNA and an MBA from Columbia Business School. </w:t>
      </w:r>
    </w:p>
    <w:p>
      <w:pPr>
        <w:pStyle w:val="TextBody"/>
        <w:bidi w:val="0"/>
        <w:spacing w:before="360" w:after="0"/>
        <w:jc w:val="left"/>
        <w:rPr>
          <w:rFonts w:ascii="Times New Roman" w:hAnsi="Times New Roman"/>
          <w:i/>
          <w:sz w:val="20"/>
        </w:rPr>
      </w:pPr>
      <w:r>
        <w:rPr>
          <w:rFonts w:ascii="Times New Roman" w:hAnsi="Times New Roman"/>
          <w:i/>
          <w:sz w:val="20"/>
        </w:rPr>
        <w:t xml:space="preserve">Araujo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Mr. Araujo’s employment with the Company will be on an at-will basis pursuant to an offer letter (the “Offer Letter”) and an executive retention agreement (the “Retention Agreement” and together with the Offer Letter, the “Employment Agreements”), each approved by the Compensation Committee, pursuant to which Mr. Araujo is entitled to an annual base salary of $590,000 and an annual bonus with a target of 60% of his base salary, with such annual bonus prorated for 2026 based on the number of days that Mr. Araujo is employed with the Company. If Mr. Araujo’s employment is terminated by the Company without cause or if he terminates his employment with the Company for good reason (as such terms are defined in the Retention Agreement) (each, a “qualifying termination”), in each case, on or after 12 months from the date Mr. Araujo begins employment with the Company, he will be entitled to the following severance benefits, in addition to accrued compensation and benefits: (i) an amount equal to the base salary in effect on the date of termination and the highest annual bonus amount during the three-year period prior to the termination date, in each case payable in 12 monthly installments, (ii) a prorated annual bonus for the year of termination (based on actual performance), and (iii) continued health insurance coverage for up to 12 months. If a qualifying termination occurs before the date that is 12 months from the date Mr. Araujo begins employment with the Company, he will be entitled to the following severance benefits, in addition to accrued compensation and benefits: (i) an amount equal to six months of the base salary in effect on the date of termination payable in installments, (ii) a prorated annual bonus for the year of termination (based on actual performance) and (iii) continued health insurance coverage for up to six months. If a qualifying termination occurs within 24 months following a change in control, Mr. Araujo would receive (i) an amount equal to 1.5 times the annual base salary in effect on the termination date, (ii) the highest annual bonus amount during the three-year period prior to the termination date, (iii) his target annual bonus for the year of termination (the amounts in (i)-(iii) paid in a lump sum), (iv) continued health insurance coverage for up to 18 months and (v) full vesting of outstanding equity awards, with performance-based equity awards vesting at target levels. </w:t>
      </w:r>
    </w:p>
    <w:p>
      <w:pPr>
        <w:pStyle w:val="TextBody"/>
        <w:bidi w:val="0"/>
        <w:spacing w:before="240" w:after="0"/>
        <w:jc w:val="left"/>
        <w:rPr>
          <w:rFonts w:ascii="Times New Roman" w:hAnsi="Times New Roman"/>
          <w:sz w:val="20"/>
        </w:rPr>
      </w:pPr>
      <w:r>
        <w:rPr>
          <w:rFonts w:ascii="Times New Roman" w:hAnsi="Times New Roman"/>
          <w:sz w:val="20"/>
        </w:rPr>
        <w:t xml:space="preserve">Additionally, Mr. Araujo will receive a cash sign-on bonus of $200,000, which is payable in two equal installments during his first ninety days of employment, and be granted (i) an initial stock option award having a grant date value of approximately $1,750,000 that will vest as to 25% of the underlying shares on the first anniversary of the vesting commencement date and as to the remaining shares in equal monthly installments over three years thereafter, subject to continued service, and (ii) an initial award of restricted stock units having a grant date value of approximately $1,750,000 that will vest as to 25% of the underlying shares on the first four anniversaries of the vesting commencement date,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Pursuant to certain restrictive covenant agreements, Mr. Araujo has agreed to a perpetual confidentiality covenant and an assignment of intellectual property covenant and has agreed not to compete with the Company or solicit the Company’s clients, customers, accounts, vendors, suppliers or other business partners, in each case for a period of one year following termination of his employment.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Araujo and the Company will enter into an indemnification agreement in a substantially similar form as Exhibit 10.2 to the Company’s Annual Report on Form 10-K filed with the Securities and Exchange Commission on 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Araujo and any other person pursuant to which Mr. Araujo was appointed as an officer of the Company. There are no family relationships between Mr. Araujo and any director or officer of the Company. Mr. Araujo has no material direct or indirect interest in a related party transaction that requires disclosure. </w:t>
      </w:r>
    </w:p>
    <w:p>
      <w:pPr>
        <w:pStyle w:val="TextBody"/>
        <w:bidi w:val="0"/>
        <w:spacing w:before="360" w:after="0"/>
        <w:jc w:val="left"/>
        <w:rPr>
          <w:rFonts w:ascii="Times New Roman" w:hAnsi="Times New Roman"/>
          <w:i/>
          <w:sz w:val="20"/>
        </w:rPr>
      </w:pPr>
      <w:r>
        <w:rPr>
          <w:rFonts w:ascii="Times New Roman" w:hAnsi="Times New Roman"/>
          <w:i/>
          <w:sz w:val="20"/>
        </w:rPr>
        <w:t xml:space="preserve">Hernandez Transition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a transition agreement with the Company (the “Transition Agreement”), Mr. Hernandez will remain a non-executive employee of the Company from September 21, 2026 until December 31, 2026 (the “Separation Date”). From the Separation Date until April 30, 2027, Mr. Hernandez will serve as a non-employee senior advisor to the Company. Following the Separation Date, Mr. Hernandez will receive the severance benefits provided in connection with a without cause termination under his existing retention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While employed as a non-executive employee, Mr. Hernandez will continue to receive an annual base salary of $535,000 and will remain eligible to receive an annual bonus in respect of the Company’s 2026 fiscal year, based on actual achievement of the performance objectives established by the Compensation Committee of the Board. Under the Transition Agreement, Mr. Hernandez’s outstanding equity awards will continue to vest during the period in which Mr. Hernandez remains employed with the Company and the period during which Mr. Hernandez serves as a non-employee advisor. Other than continued vesting of his outstanding equity awards, Mr. Hernandez will not receive additional remuneration for his advisory services. Mr. Hernandez will continue to be bound by the terms of the Business Protection Agreement between Mr. Hernandez and the Company, which includes confidentiality provisions and non-competition and non-solicitation provisions that survive termination of Mr. Hernandez’s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Employment Agreements and the Transition Agreement do not purport to be complete and are qualified in their entirety by the full text of the agreements, copies of which will be filed as exhibits to the Company’s Quarterly Report on Form 10-Q for the quarter ended September 30, 2026.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Company issued a press release announcing the leadership transition. A copy of the press release is attached hereto as Exhibit 99.1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in Exhibit 99.1 to this Current Report on Form 8-K is being furnished and shall not be deemed “filed” for purposes of Section 18 of the Securities Exchange Act of 1934, nor shall it be deemed incorporated by reference in filings under the Securities Act of 1933.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1700"/>
        <w:gridCol w:w="120"/>
        <w:gridCol w:w="768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center"/>
              <w:rPr>
                <w:b/>
              </w:rPr>
            </w:pPr>
            <w:r>
              <w:rPr>
                <w:b/>
              </w:rPr>
              <w:t>Exhibit 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6447dex991.htm">
              <w:r>
                <w:rPr>
                  <w:rStyle w:val="InternetLink"/>
                </w:rPr>
                <w:t xml:space="preserve">Press Release dated September 10, 2026. </w:t>
              </w:r>
            </w:hyperlink>
          </w:p>
        </w:tc>
      </w:tr>
      <w:tr>
        <w:trPr/>
        <w:tc>
          <w:tcPr>
            <w:tcW w:w="170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September 10, 2026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pPr>
            <w:r>
              <w:rPr/>
              <w:t>TRANSMEDICS GROUP,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Waleed H. Hassanein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Waleed H. Hassanein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16447dex991.htm"/>
      <w:bookmarkStart w:id="3" w:name="ksd11644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907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5810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TransMedics Appoints Fernando Araujo as Chief Financial Officer and Reiterates 2026 Financial Outlook </w:t>
      </w:r>
    </w:p>
    <w:p>
      <w:pPr>
        <w:pStyle w:val="TextBody"/>
        <w:bidi w:val="0"/>
        <w:spacing w:before="240" w:after="0"/>
        <w:jc w:val="left"/>
        <w:rPr>
          <w:rFonts w:ascii="Times New Roman" w:hAnsi="Times New Roman"/>
          <w:sz w:val="20"/>
        </w:rPr>
      </w:pPr>
      <w:r>
        <w:rPr>
          <w:rFonts w:ascii="Times New Roman" w:hAnsi="Times New Roman"/>
          <w:b/>
          <w:sz w:val="20"/>
        </w:rPr>
        <w:t>Andover, Mass.</w:t>
      </w:r>
      <w:r>
        <w:rPr>
          <w:rFonts w:ascii="Times New Roman" w:hAnsi="Times New Roman"/>
          <w:sz w:val="20"/>
        </w:rPr>
        <w:t xml:space="preserve"> – September 10, 2026 – TransMedics Group, Inc. (“TransMedics”) (Nasdaq: TMDX), the global leader in portable warm perfusion for donor organs for transplantation, today announced the appointment of Fernando Araujo as Chief Financial Officer, effective September 21, 2026. Mr. Araujo brings more than 20 years of public-company finance leadership at GE HealthCare, General Electric, and 3M to support the Company’s next phase of global growth. He succeeds Gerardo Hernandez, who will transition to Commercial Strategic Advisor, LATAM to lead TransMedics’ expansion into Latin America. Concurrent with today’s announcement, TransMedics is reiterating its full-year revenue guidance for 2026. </w:t>
      </w:r>
    </w:p>
    <w:p>
      <w:pPr>
        <w:pStyle w:val="TextBody"/>
        <w:bidi w:val="0"/>
        <w:spacing w:before="240" w:after="0"/>
        <w:jc w:val="left"/>
        <w:rPr>
          <w:rFonts w:ascii="Times New Roman" w:hAnsi="Times New Roman"/>
          <w:sz w:val="20"/>
        </w:rPr>
      </w:pPr>
      <w:r>
        <w:rPr>
          <w:rFonts w:ascii="Times New Roman" w:hAnsi="Times New Roman"/>
          <w:sz w:val="20"/>
        </w:rPr>
        <w:t xml:space="preserve">Mr. Araujo is a global finance executive with more than 20 years of public-company experience across the healthcare, industrial, and energy sectors. Most recently, he served as Chief Financial Officer of GE HealthCare’s Advanced Imaging Solutions segment, a $16 billion segment combining GE HealthCare’s Imaging and Advanced Visualization Solutions businesses with its global Integrated Supply Chain and Global Service organizations. He previously served as GE HealthCare’s Corporate Finance CFO responsible for FP&amp;A and Finance Transformation while closely partnering with the investor relations team. In addition, Mr. Araujo served as the Senior Vice President of Finance for Enterprise Operations at 3M. Earlier in his career, during a 17-year tenure at General Electric, he held a series of senior finance and CFO roles, including CFO of Grid Solutions Latin America, FP&amp;A Leader for GE Energy Connections, and CFO of GE’s Healthcare Latin America and Healthcare U.S. &amp; Canada businesses. </w:t>
      </w:r>
    </w:p>
    <w:p>
      <w:pPr>
        <w:pStyle w:val="TextBody"/>
        <w:bidi w:val="0"/>
        <w:spacing w:before="240" w:after="0"/>
        <w:jc w:val="left"/>
        <w:rPr/>
      </w:pPr>
      <w:r>
        <w:rPr/>
        <w:t>“</w:t>
      </w:r>
      <w:r>
        <w:rPr>
          <w:rFonts w:ascii="Times New Roman" w:hAnsi="Times New Roman"/>
          <w:sz w:val="20"/>
        </w:rPr>
        <w:t xml:space="preserve">Fernando joins TransMedics at a growth inflection point,” said Waleed Hassanein, M.D., President and Chief Executive Officer. “We are focused on scaling rapidly across strategic dimensions of our business to stimulate U.S. NOP heart and lung growth, expand our product pipeline with OCS Kidney and OCS Gen-3.0, drive operating leverage, and build out our international NOP commercial and logistics footprint across Europe. Fernando’s track record of scaling finance operations at complex, global healthcare businesses is well aligned with what’s ahead of TransMedics, and we are confident he will help us capitalize on the significant growth opportunities ahead. I am delighted to welcome Fernando to TransMedics.” </w:t>
      </w:r>
    </w:p>
    <w:p>
      <w:pPr>
        <w:pStyle w:val="TextBody"/>
        <w:bidi w:val="0"/>
        <w:spacing w:before="240" w:after="0"/>
        <w:jc w:val="left"/>
        <w:rPr/>
      </w:pPr>
      <w:r>
        <w:rPr/>
        <w:t>“</w:t>
      </w:r>
      <w:r>
        <w:rPr>
          <w:rFonts w:ascii="Times New Roman" w:hAnsi="Times New Roman"/>
          <w:sz w:val="20"/>
        </w:rPr>
        <w:t xml:space="preserve">I am excited to join TransMedics at such an important stage in the Company’s growth,” said Mr. Araujo. “TransMedics has differentiated technology, an industry leadership position, and multiple near-term potential growth catalysts. I look forward to partnering with the leadership team to support disciplined execution, expand operating leverage, and create lasting value for shareholders while advancing the Company’s mission for transplant patients.” </w:t>
      </w:r>
    </w:p>
    <w:p>
      <w:pPr>
        <w:pStyle w:val="TextBody"/>
        <w:bidi w:val="0"/>
        <w:spacing w:before="240" w:after="0"/>
        <w:jc w:val="left"/>
        <w:rPr/>
      </w:pPr>
      <w:r>
        <w:rPr/>
        <w:t>“</w:t>
      </w:r>
      <w:r>
        <w:rPr>
          <w:rFonts w:ascii="Times New Roman" w:hAnsi="Times New Roman"/>
          <w:sz w:val="20"/>
        </w:rPr>
        <w:t xml:space="preserve">Dr. Hassanein concluded, “I would like to express my sincere gratitude for Gerardo’s partnership and leadership over the past two years; his contributions have been central to our operational execution. Our LATAM commercial opportunity is beginning to materialize, and Gerardo is uniquely positioned to lead an early entry in the region– working directly with me and our international commercial leadership team to accelerate our expansion and capture this high-value opportunity.”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2026 Financial Outlook </w:t>
      </w:r>
    </w:p>
    <w:p>
      <w:pPr>
        <w:pStyle w:val="TextBody"/>
        <w:bidi w:val="0"/>
        <w:spacing w:before="120" w:after="0"/>
        <w:jc w:val="left"/>
        <w:rPr>
          <w:rFonts w:ascii="Times New Roman" w:hAnsi="Times New Roman"/>
          <w:sz w:val="20"/>
        </w:rPr>
      </w:pPr>
      <w:r>
        <w:rPr>
          <w:rFonts w:ascii="Times New Roman" w:hAnsi="Times New Roman"/>
          <w:sz w:val="20"/>
        </w:rPr>
        <w:t xml:space="preserve">TransMedics is reiterating its full-year 2026 revenue guidance of $737 million to $757 million, representing approximately 22% to 25% year-over-year growth. This guidance continues to exclude any revenue contribution from the Company’s recent strategic investment in PAD Aviation Service GmbH. The Company expects to revisit this outlook in conjunction with its third quarter 2026 results. </w:t>
      </w:r>
    </w:p>
    <w:p>
      <w:pPr>
        <w:pStyle w:val="TextBody"/>
        <w:bidi w:val="0"/>
        <w:spacing w:before="360" w:after="0"/>
        <w:jc w:val="left"/>
        <w:rPr>
          <w:rFonts w:ascii="Times New Roman" w:hAnsi="Times New Roman"/>
          <w:b/>
          <w:sz w:val="20"/>
        </w:rPr>
      </w:pPr>
      <w:r>
        <w:rPr>
          <w:rFonts w:ascii="Times New Roman" w:hAnsi="Times New Roman"/>
          <w:b/>
          <w:sz w:val="20"/>
        </w:rPr>
        <w:t xml:space="preserve">Upcoming Investor Conferences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24th Annual Global Healthcare Conference in New York. TransMedics management will participate in a fireside chat on Monday, September 14, 2026, at 3:20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Baird 2026 Global Healthcare Conference in New York. TransMedics management will participate in a fireside chat on Tuesday, September 15, 2026, at 9:40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A live and archived webcast of both fireside chats will be available in the “Investors” section of the TransMedics website at https://investors.transmedics.com, where the Company’s standard investor presentation is also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About TransMedics Group, Inc. </w:t>
      </w:r>
    </w:p>
    <w:p>
      <w:pPr>
        <w:pStyle w:val="TextBody"/>
        <w:bidi w:val="0"/>
        <w:spacing w:before="120" w:after="0"/>
        <w:jc w:val="left"/>
        <w:rPr>
          <w:rFonts w:ascii="Times New Roman" w:hAnsi="Times New Roman"/>
          <w:sz w:val="20"/>
        </w:rPr>
      </w:pPr>
      <w:r>
        <w:rPr>
          <w:rFonts w:ascii="Times New Roman" w:hAnsi="Times New Roman"/>
          <w:sz w:val="20"/>
        </w:rPr>
        <w:t xml:space="preserve">TransMedics is the world’s leader in portable extracorporeal warm perfusion and assessment of donor organs for transplantation. Headquartered in Andover, Massachusetts, the company was founded to address the unmet need for more and better organs for transplantation and has developed technologies to preserve organ quality, assess organ viability prior to transplant, and potentially increase the utilization of donor organs for the treatment of end-stage heart, lung, and liver failure.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 respect to, among other things, future results and events, including a leadership transition, our full-year guidance and projected estimates, potential clinical outcomes and therapies, and statements about our operations, operational execution, financial position, strategic plans and other business plans. For this purpose, all statements other than statements of historical facts are forward-looking statements. The words “believe,” “may,” “will,” “estimate,” “continue,” “anticipate,” “intend,” “expect,” “should,” “could,” “target,” “predict,” “seek” and similar expressions are intended to identify forward-looking statements. These forward-looking statements are subject to a number of risks and uncertainties. Our management cannot predict all risks, nor can we assess the impact of all factors or the extent to which any factor, or combination of factors, may cause actual results to differ materially from those contained in or implied by any forward-looking statements we may make. In light of these risks and uncertainties, the forward-looking events and circumstances discussed in this press release may not occur and actual results could differ materially and adversely from those anticipated in or implied by the forward-looking statements. Some of the key factors that could cause actual results to differ include: the fluctuation of our financial results from quarter to quarter; our ability to attract, train and retain key personnel; our dependence on the success of the OCS; our ability to expand access to the OCS through our NOP; our ability to improve the OCS platform, including by developing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next generation of the OCS products or expanding into new indications and the development, and potential commercialization of our OCS Kidney device; the degree of success we experience in commercializing our OCS products for additional indications, including potentially OCS Kidney; the timing or results of clinical trials for the OCS, including pre- and post-approval studies, or other product candidates, including CHOPS; our ability to sustain profitability; our need to raise additional funding and our ability to obtain it on favorable terms, or at all; our ability to use net operating losses and research and development credit carryforwards; that we have identified a material weakness in our internal control over financial reporting, and that we may identify additional material weaknesses in the future; our ability to scale our manufacturing and sterilization capabilities to meet increasing demand for our products; the rate and degree of market acceptance of the OCS; our ability to educate patients, surgeons, transplant centers and private and public payors on the benefits offered by the OCS; our dependence on a limited number of customers for a significant portion of our revenue; our ability to maintain regulatory approvals or clearances for our OCS products in the United States, the European Union and other select jurisdictions worldwide; our ability to adequately respond to the Food and Drug Administration (the “FDA”), or other competent authorities, follow-up inquiries in a timely manner; the impact of healthcare policy changes, including recently enacted or potential future legislation or administrative actions affecting or reforming the U.S. healthcare system, Organ Procurement and Transplantation Network, or the FDA; the performance of our third-party suppliers and manufacturers; our use of third parties to transport donor organs and medical personnel for our NOP and our ability to maintain and grow our transplant logistics capabilities to support our NOP to reduce dependence on third party transportation, including by means of attracting, training and retaining pilots, and the acquisition, maintenance or replacement of fixed-wing aircraft for our aviation transportation services or other acquisitions, joint ventures or strategic investments; our ability to maintain Federal Aviation Administration, or other regulatory licenses or approvals for our aircraft transportation services; price increases of the components of our products and maintenance, parts and fuel for our aircraft; our manufacturing, sales, marketing and clinical support capabilities and strategy; attacks against our information technology, or IT, infrastructure; the economic, political and other risks associated with our foreign operations; our ability to protect, defend, maintain and enforce our intellectual property rights relating to the OCS and avoid allegations that our products or services infringe, misappropriate or otherwise violate the intellectual property rights of third parties; the pricing of the OCS, as well as the reimbursement coverage for the OCS in the United States and internationally; regulatory developments in the United States, European Union and other jurisdictions; the impact of a shutdown of the U.S. government; the extent and success of competing products or procedures that are or may become available; our ability to service our 1.50% convertible senior notes, due 2028; our existing and any future indebtedness, including our ability to comply with affirmative and negative covenants under our credit agreements to which we will remain subject until maturity; the impact of any product recalls or improper use of our products; our international expansion plans and the costs related thereto, including the costs associated with maintaining, improving and expanding our commercial operations globally, including the NOP and the Company’s investment in PAD Aviation; our estimates regarding revenue, expenses, capital expenditures and needs for additional financing; and other factors that may be described in our filings with the Securities and Exchange Commission (the “SEC”). Additional information will be made available in our annual and quarterly reports and other filings that we make with the SEC. The forward-looking statements in this press release speak only as of the date of this press release.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TransMedics routinely posts information that may be important to investors on the landing page of the Company’s website and in the “Investors” section of the website at </w:t>
      </w:r>
      <w:r>
        <w:rPr>
          <w:rFonts w:ascii="Times New Roman" w:hAnsi="Times New Roman"/>
          <w:sz w:val="20"/>
          <w:u w:val="single"/>
        </w:rPr>
        <w:t>https://investors.transmedics.com/</w:t>
      </w:r>
      <w:r>
        <w:rPr>
          <w:rFonts w:ascii="Times New Roman" w:hAnsi="Times New Roman"/>
          <w:sz w:val="20"/>
        </w:rPr>
        <w:t xml:space="preserve">. Investors and potential investors are encouraged to consult the TransMedics website regularly for important information about TransMedics.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Brian Johnston </w:t>
      </w:r>
    </w:p>
    <w:p>
      <w:pPr>
        <w:pStyle w:val="TextBody"/>
        <w:bidi w:val="0"/>
        <w:spacing w:before="0" w:after="0"/>
        <w:jc w:val="left"/>
        <w:rPr>
          <w:rFonts w:ascii="Times New Roman" w:hAnsi="Times New Roman"/>
          <w:sz w:val="20"/>
        </w:rPr>
      </w:pPr>
      <w:r>
        <w:rPr>
          <w:rFonts w:ascii="Times New Roman" w:hAnsi="Times New Roman"/>
          <w:sz w:val="20"/>
        </w:rPr>
        <w:t xml:space="preserve">Hannah Jeffrey </w:t>
      </w:r>
    </w:p>
    <w:p>
      <w:pPr>
        <w:pStyle w:val="TextBody"/>
        <w:bidi w:val="0"/>
        <w:spacing w:before="0" w:after="0"/>
        <w:jc w:val="left"/>
        <w:rPr>
          <w:rFonts w:ascii="Times New Roman" w:hAnsi="Times New Roman"/>
          <w:sz w:val="20"/>
        </w:rPr>
      </w:pPr>
      <w:r>
        <w:rPr>
          <w:rFonts w:ascii="Times New Roman" w:hAnsi="Times New Roman"/>
          <w:sz w:val="20"/>
        </w:rPr>
        <w:t xml:space="preserve">332-895-3222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Investors@transmedics.com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3359</Words>
  <Characters>19099</Characters>
  <CharactersWithSpaces>22443</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