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43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43191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Khayal Tamer I</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TRANSMEDICS GROUP,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MINUTEMAN ROAD</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01810</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TransMedics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TMDX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960" w:type="dxa"/>
            <w:vAlign w:val="bottom"/>
            <w:tcBorders>
              <w:top w:val="single" w:sz="8" w:color="0000EE"/>
            </w:tcBorders>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05/06/2024</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420" w:type="dxa"/>
            <w:vAlign w:val="bottom"/>
          </w:tcPr>
          <w:p>
            <w:pPr>
              <w:spacing w:after="0"/>
              <w:rPr>
                <w:sz w:val="11"/>
                <w:szCs w:val="11"/>
                <w:color w:val="auto"/>
              </w:rPr>
            </w:pPr>
          </w:p>
        </w:tc>
        <w:tc>
          <w:tcPr>
            <w:tcW w:w="17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420" w:type="dxa"/>
            <w:vAlign w:val="bottom"/>
          </w:tcPr>
          <w:p>
            <w:pPr>
              <w:spacing w:after="0"/>
              <w:rPr>
                <w:sz w:val="11"/>
                <w:szCs w:val="11"/>
                <w:color w:val="auto"/>
              </w:rPr>
            </w:pPr>
          </w:p>
        </w:tc>
        <w:tc>
          <w:tcPr>
            <w:tcW w:w="1740" w:type="dxa"/>
            <w:vAlign w:val="bottom"/>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4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05/06/2024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5,839</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ind w:right="10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15,631</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05/06/2024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5,839</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130.07</w:t>
            </w:r>
            <w:r>
              <w:rPr>
                <w:rFonts w:ascii="Times New Roman" w:cs="Times New Roman" w:eastAsia="Times New Roman" w:hAnsi="Times New Roman"/>
                <w:sz w:val="21"/>
                <w:szCs w:val="21"/>
                <w:color w:val="008000"/>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9,792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4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08"/>
        </w:trPr>
        <w:tc>
          <w:tcPr>
            <w:tcW w:w="2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Tamer</w:t>
            </w:r>
          </w:p>
        </w:tc>
        <w:tc>
          <w:tcPr>
            <w:tcW w:w="0" w:type="dxa"/>
            <w:vAlign w:val="bottom"/>
          </w:tcPr>
          <w:p>
            <w:pPr>
              <w:spacing w:after="0"/>
              <w:rPr>
                <w:sz w:val="1"/>
                <w:szCs w:val="1"/>
                <w:color w:val="auto"/>
              </w:rPr>
            </w:pPr>
          </w:p>
        </w:tc>
      </w:tr>
      <w:tr>
        <w:trPr>
          <w:trHeight w:val="226"/>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11,051</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Ibrahim</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Ahmed</w:t>
      </w:r>
    </w:p>
    <w:p>
      <w:pPr>
        <w:spacing w:after="0" w:line="5"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Khayal</w:t>
      </w:r>
    </w:p>
    <w:p>
      <w:pPr>
        <w:spacing w:after="0" w:line="12"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05/06/2024</w:t>
            </w:r>
          </w:p>
        </w:tc>
        <w:tc>
          <w:tcPr>
            <w:tcW w:w="1100" w:type="dxa"/>
            <w:vAlign w:val="bottom"/>
          </w:tcPr>
          <w:p>
            <w:pPr>
              <w:spacing w:after="0"/>
              <w:rPr>
                <w:sz w:val="16"/>
                <w:szCs w:val="16"/>
                <w:color w:val="auto"/>
              </w:rPr>
            </w:pPr>
          </w:p>
        </w:tc>
        <w:tc>
          <w:tcPr>
            <w:tcW w:w="80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7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5,839</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02/20/2033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5,839</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14,183</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were effected pursuant to a Rule 10b5-1 trading plan entered into on September 6, 2023.</w:t>
      </w:r>
    </w:p>
    <w:p>
      <w:pPr>
        <w:spacing w:after="0" w:line="45"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$130.00 to $130.23,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at a rate of 2.0833% of the total number of shares subject to the option each month following February 20, 2023 until the option is fully vested on February 20, 2027.</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By: /s/ Stephen Gordon,</w:t>
            </w:r>
          </w:p>
        </w:tc>
        <w:tc>
          <w:tcPr>
            <w:tcW w:w="40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05/08/2024</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0462" TargetMode="External"/><Relationship Id="rId13" Type="http://schemas.openxmlformats.org/officeDocument/2006/relationships/hyperlink" Target="http://www.sec.gov/cgi-bin/browse-edgar?action=getcompany&amp;CIK=0001756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2024-05-08T16:11:11Z</dcterms:created>
  <dcterms:modified xsi:type="dcterms:W3CDTF">2024-05-08T16:11:11Z</dcterms:modified>
</cp:coreProperties>
</file>