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tmdx-20250730.htm"/>
      <w:bookmarkStart w:id="1" w:name="kstmdx20250730"/>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30, 2025</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TransMedics Group,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53"/>
        <w:gridCol w:w="864"/>
        <w:gridCol w:w="868"/>
        <w:gridCol w:w="1846"/>
        <w:gridCol w:w="1336"/>
      </w:tblGrid>
      <w:tr>
        <w:trPr/>
        <w:tc>
          <w:tcPr>
            <w:tcW w:w="95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Massachusetts</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001-38891</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83-2181531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200 Minuteman Road</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Andover,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01810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(978)</w:t>
            </w:r>
            <w:r>
              <w:rPr>
                <w:rFonts w:ascii="Times New Roman" w:hAnsi="Times New Roman"/>
                <w:color w:val="000000"/>
                <w:sz w:val="20"/>
              </w:rPr>
              <w:t xml:space="preserve"> </w:t>
            </w:r>
            <w:r>
              <w:rPr>
                <w:rFonts w:ascii="Times New Roman" w:hAnsi="Times New Roman"/>
                <w:b/>
                <w:color w:val="000000"/>
                <w:sz w:val="20"/>
              </w:rPr>
              <w:t>552-0900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305" w:type="dxa"/>
        <w:jc w:val="left"/>
        <w:tblInd w:w="0" w:type="dxa"/>
        <w:tblLayout w:type="fixed"/>
        <w:tblCellMar>
          <w:top w:w="28" w:type="dxa"/>
          <w:left w:w="28" w:type="dxa"/>
          <w:bottom w:w="28" w:type="dxa"/>
          <w:right w:w="28" w:type="dxa"/>
        </w:tblCellMar>
      </w:tblPr>
      <w:tblGrid>
        <w:gridCol w:w="3241"/>
        <w:gridCol w:w="146"/>
        <w:gridCol w:w="946"/>
        <w:gridCol w:w="146"/>
        <w:gridCol w:w="3826"/>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24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2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no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TMDX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12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30, 2025, TransMedics Group, Inc. (the “Company”) issued a press release announcing the Company’s financial results for the quarter ended June 30, 2025. A copy of this press release is furnished as Exhibit 99.1 and is incorporated herein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in this Form 8-K (including Exhibit 99.1 attached hereto) is being furnished and shall not be deemed “filed” for purposes of Section 18 of the Securities Exchange Act of 1934, as amended (the “Exchange Act”), or otherwise subject to the liabilities of that section, nor shall it be deemed incorporated by reference into any filing by the Company, under the Securities Act of 1933, as amended, or the Exchange Act, except as expressly set forth by specific reference in such filing.</w:t>
      </w:r>
    </w:p>
    <w:p>
      <w:pPr>
        <w:pStyle w:val="Heading2"/>
        <w:bidi w:val="0"/>
        <w:spacing w:before="360" w:after="12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7461" w:type="dxa"/>
        <w:jc w:val="left"/>
        <w:tblInd w:w="0" w:type="dxa"/>
        <w:tblLayout w:type="fixed"/>
        <w:tblCellMar>
          <w:top w:w="28" w:type="dxa"/>
          <w:left w:w="28" w:type="dxa"/>
          <w:bottom w:w="28" w:type="dxa"/>
          <w:right w:w="28" w:type="dxa"/>
        </w:tblCellMar>
      </w:tblPr>
      <w:tblGrid>
        <w:gridCol w:w="751"/>
        <w:gridCol w:w="109"/>
        <w:gridCol w:w="6601"/>
      </w:tblGrid>
      <w:tr>
        <w:trPr/>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Exhibit</w:t>
              <w:br/>
              <w:t>No.</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jc w:val="center"/>
              <w:rPr/>
            </w:pPr>
            <w:r>
              <w:rPr/>
              <w:t> </w:t>
            </w:r>
          </w:p>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r>
      <w:tr>
        <w:trPr/>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tmdx-ex99_1.htm">
              <w:r>
                <w:rPr>
                  <w:rStyle w:val="InternetLink"/>
                  <w:rFonts w:ascii="Times New Roman" w:hAnsi="Times New Roman"/>
                  <w:color w:val="0000FF"/>
                  <w:sz w:val="20"/>
                  <w:u w:val="single"/>
                </w:rPr>
                <w:t>Press release issued by TransMedics Group, Inc. on July 30, 2025</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Heading2"/>
        <w:bidi w:val="0"/>
        <w:spacing w:before="360" w:after="12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914" w:type="dxa"/>
        <w:jc w:val="left"/>
        <w:tblInd w:w="0" w:type="dxa"/>
        <w:tblLayout w:type="fixed"/>
        <w:tblCellMar>
          <w:top w:w="28" w:type="dxa"/>
          <w:left w:w="28" w:type="dxa"/>
          <w:bottom w:w="28" w:type="dxa"/>
          <w:right w:w="28" w:type="dxa"/>
        </w:tblCellMar>
      </w:tblPr>
      <w:tblGrid>
        <w:gridCol w:w="556"/>
        <w:gridCol w:w="1216"/>
        <w:gridCol w:w="451"/>
        <w:gridCol w:w="3691"/>
      </w:tblGrid>
      <w:tr>
        <w:trPr/>
        <w:tc>
          <w:tcPr>
            <w:tcW w:w="5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69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TRANSMEDICS GROUP,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30, 2025</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69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Gerardo Hernandez</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Name: Gerardo Hernandez</w:t>
              <w:br/>
              <w:t xml:space="preserve">Title: Chief Financial Officer and Treasurer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2" w:name="tmdx-ex99_1.htm"/>
      <w:bookmarkStart w:id="3" w:name="kstmdxex99_1"/>
      <w:bookmarkEnd w:id="2"/>
      <w:bookmarkEnd w:id="3"/>
      <w:r>
        <w:rPr>
          <w:rFonts w:ascii="Times New Roman" w:hAnsi="Times New Roman"/>
          <w:color w:val="000000"/>
          <w:sz w:val="20"/>
        </w:rPr>
        <w:t>Exhibit 99.1</w:t>
      </w:r>
      <w:r>
        <w:br w:type="page"/>
      </w:r>
    </w:p>
    <w:p>
      <w:pPr>
        <w:pStyle w:val="TextBody"/>
        <w:bidi w:val="0"/>
        <w:spacing w:before="0" w:after="260"/>
        <w:jc w:val="center"/>
        <w:rPr/>
      </w:pPr>
      <w:r>
        <w:rPr/>
        <w:drawing>
          <wp:inline distT="0" distB="0" distL="0" distR="0">
            <wp:extent cx="2390775"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90775" cy="571500"/>
                    </a:xfrm>
                    <a:prstGeom prst="rect">
                      <a:avLst/>
                    </a:prstGeom>
                  </pic:spPr>
                </pic:pic>
              </a:graphicData>
            </a:graphic>
          </wp:inline>
        </w:drawing>
      </w:r>
    </w:p>
    <w:p>
      <w:pPr>
        <w:pStyle w:val="TextBody"/>
        <w:bidi w:val="0"/>
        <w:spacing w:before="0" w:after="260"/>
        <w:jc w:val="center"/>
        <w:rPr>
          <w:rFonts w:ascii="Avenir Next LT Pro;sans-serif" w:hAnsi="Avenir Next LT Pro;sans-serif"/>
          <w:b/>
          <w:color w:val="000000"/>
          <w:sz w:val="32"/>
        </w:rPr>
      </w:pPr>
      <w:r>
        <w:rPr>
          <w:rFonts w:ascii="Avenir Next LT Pro;sans-serif" w:hAnsi="Avenir Next LT Pro;sans-serif"/>
          <w:b/>
          <w:color w:val="000000"/>
          <w:sz w:val="32"/>
        </w:rPr>
        <w:t>TransMedics Reports Second Quarter 2025 Financial Results</w:t>
      </w:r>
    </w:p>
    <w:p>
      <w:pPr>
        <w:pStyle w:val="TextBody"/>
        <w:bidi w:val="0"/>
        <w:spacing w:before="0" w:after="260"/>
        <w:jc w:val="left"/>
        <w:rPr>
          <w:rFonts w:ascii="Times New Roman" w:hAnsi="Times New Roman"/>
          <w:sz w:val="20"/>
        </w:rPr>
      </w:pPr>
      <w:r>
        <w:rPr>
          <w:rFonts w:ascii="Avenir Next LT Pro;sans-serif" w:hAnsi="Avenir Next LT Pro;sans-serif"/>
          <w:b/>
          <w:color w:val="000000"/>
          <w:sz w:val="24"/>
        </w:rPr>
        <w:t xml:space="preserve">Andover, Mass. – </w:t>
      </w:r>
      <w:r>
        <w:rPr>
          <w:rFonts w:ascii="Avenir Next LT Pro;sans-serif" w:hAnsi="Avenir Next LT Pro;sans-serif"/>
          <w:color w:val="000000"/>
          <w:sz w:val="24"/>
        </w:rPr>
        <w:t>July 30, 2025 – TransMedics Group, Inc. (“TransMedics”) (Nasdaq: TMDX), a medical technology company that is transforming organ transplant therapy for patients with end-stage lung, heart, and liver failure, today reported financial results for the quarter ended June 30, 2025.</w:t>
      </w:r>
    </w:p>
    <w:p>
      <w:pPr>
        <w:pStyle w:val="TextBody"/>
        <w:bidi w:val="0"/>
        <w:jc w:val="left"/>
        <w:rPr>
          <w:rFonts w:ascii="Times New Roman" w:hAnsi="Times New Roman"/>
          <w:sz w:val="20"/>
        </w:rPr>
      </w:pPr>
      <w:bookmarkStart w:id="4" w:name="bookmark8"/>
      <w:bookmarkStart w:id="5" w:name="bookmark6"/>
      <w:bookmarkStart w:id="6" w:name="bookmark7"/>
      <w:bookmarkEnd w:id="4"/>
      <w:bookmarkEnd w:id="5"/>
      <w:bookmarkEnd w:id="6"/>
      <w:r>
        <w:rPr>
          <w:rFonts w:ascii="Avenir Next LT Pro;sans-serif" w:hAnsi="Avenir Next LT Pro;sans-serif"/>
          <w:b/>
          <w:color w:val="000000"/>
          <w:sz w:val="24"/>
        </w:rPr>
        <w:t>Recent Highlights</w:t>
      </w:r>
      <w:r>
        <w:rPr>
          <w:rFonts w:ascii="Times New Roman" w:hAnsi="Times New Roman"/>
          <w:color w:val="000000"/>
          <w:sz w:val="20"/>
        </w:rPr>
        <w:t xml:space="preserve"> </w:t>
      </w:r>
    </w:p>
    <w:p>
      <w:pPr>
        <w:pStyle w:val="TextBody"/>
        <w:bidi w:val="0"/>
        <w:jc w:val="left"/>
        <w:rPr>
          <w:color w:val="761928"/>
        </w:rPr>
      </w:pPr>
      <w:r>
        <w:rPr>
          <w:color w:val="761928"/>
        </w:rPr>
        <w:t>▪</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pPr>
      <w:bookmarkStart w:id="7" w:name="bookmark17"/>
      <w:bookmarkStart w:id="8" w:name="bookmark15"/>
      <w:bookmarkStart w:id="9" w:name="bookmark16"/>
      <w:bookmarkEnd w:id="7"/>
      <w:bookmarkEnd w:id="8"/>
      <w:bookmarkEnd w:id="9"/>
      <w:r>
        <w:rPr>
          <w:rFonts w:ascii="Avenir Next LT Pro;sans-serif" w:hAnsi="Avenir Next LT Pro;sans-serif"/>
          <w:color w:val="000000"/>
          <w:sz w:val="24"/>
        </w:rPr>
        <w:t xml:space="preserve">Total revenue of $157.4 million in the second quarter of 2025, a 38% increase compared to the second quarter of </w:t>
      </w:r>
      <w:bookmarkStart w:id="10" w:name="bookmark10"/>
      <w:bookmarkEnd w:id="10"/>
      <w:r>
        <w:rPr>
          <w:rFonts w:ascii="Avenir Next LT Pro;sans-serif" w:hAnsi="Avenir Next LT Pro;sans-serif"/>
          <w:color w:val="000000"/>
          <w:sz w:val="24"/>
        </w:rPr>
        <w:t>2024</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color w:val="761928"/>
        </w:rPr>
      </w:pPr>
      <w:r>
        <w:rPr>
          <w:color w:val="761928"/>
        </w:rPr>
        <w:t>▪</w:t>
      </w:r>
    </w:p>
    <w:p>
      <w:pPr>
        <w:pStyle w:val="TextBody"/>
        <w:bidi w:val="0"/>
        <w:spacing w:before="0" w:after="0"/>
        <w:jc w:val="left"/>
        <w:rPr>
          <w:rFonts w:ascii="Avenir Next LT Pro;sans-serif" w:hAnsi="Avenir Next LT Pro;sans-serif"/>
          <w:color w:val="000000"/>
          <w:sz w:val="24"/>
        </w:rPr>
      </w:pPr>
      <w:r>
        <w:rPr>
          <w:rFonts w:ascii="Avenir Next LT Pro;sans-serif" w:hAnsi="Avenir Next LT Pro;sans-serif"/>
          <w:color w:val="000000"/>
          <w:sz w:val="24"/>
        </w:rPr>
        <w:t>Generated net income of $34.9 million or $0.92 per fully diluted share in the second quarter of 2025</w:t>
      </w:r>
    </w:p>
    <w:p>
      <w:pPr>
        <w:pStyle w:val="TextBody"/>
        <w:bidi w:val="0"/>
        <w:spacing w:before="0" w:after="0"/>
        <w:jc w:val="left"/>
        <w:rPr>
          <w:color w:val="761928"/>
        </w:rPr>
      </w:pPr>
      <w:r>
        <w:rPr>
          <w:color w:val="761928"/>
        </w:rPr>
        <w:t>▪</w:t>
      </w:r>
    </w:p>
    <w:p>
      <w:pPr>
        <w:pStyle w:val="TextBody"/>
        <w:bidi w:val="0"/>
        <w:spacing w:before="0" w:after="0"/>
        <w:jc w:val="left"/>
        <w:rPr/>
      </w:pPr>
      <w:r>
        <w:rPr>
          <w:rFonts w:ascii="Avenir Next LT Pro;sans-serif" w:hAnsi="Avenir Next LT Pro;sans-serif"/>
          <w:color w:val="000000"/>
          <w:sz w:val="24"/>
        </w:rPr>
        <w:t>Received conditional Investigations Device Exemption (IDE) approval from the U.S. Food and Drug Administration to initiate the Next-Gen OCS</w:t>
      </w:r>
      <w:r>
        <w:rPr>
          <w:rFonts w:ascii="Avenir Next LT Pro;sans-serif" w:hAnsi="Avenir Next LT Pro;sans-serif"/>
          <w:color w:val="000000"/>
          <w:sz w:val="16"/>
        </w:rPr>
        <w:t>TM</w:t>
      </w:r>
      <w:r>
        <w:rPr>
          <w:color w:val="000000"/>
        </w:rPr>
        <w:t xml:space="preserve"> </w:t>
      </w:r>
      <w:r>
        <w:rPr>
          <w:rFonts w:ascii="Avenir Next LT Pro;sans-serif" w:hAnsi="Avenir Next LT Pro;sans-serif"/>
          <w:color w:val="000000"/>
          <w:sz w:val="24"/>
        </w:rPr>
        <w:t xml:space="preserve">Lung trial </w:t>
      </w:r>
    </w:p>
    <w:p>
      <w:pPr>
        <w:pStyle w:val="TextBody"/>
        <w:bidi w:val="0"/>
        <w:spacing w:before="0" w:after="0"/>
        <w:jc w:val="left"/>
        <w:rPr>
          <w:color w:val="761928"/>
        </w:rPr>
      </w:pPr>
      <w:r>
        <w:rPr>
          <w:color w:val="761928"/>
        </w:rPr>
        <w:t>▪</w:t>
      </w:r>
    </w:p>
    <w:p>
      <w:pPr>
        <w:pStyle w:val="TextBody"/>
        <w:bidi w:val="0"/>
        <w:spacing w:before="0" w:after="0"/>
        <w:jc w:val="left"/>
        <w:rPr/>
      </w:pPr>
      <w:r>
        <w:rPr>
          <w:rFonts w:ascii="Avenir Next LT Pro;sans-serif" w:hAnsi="Avenir Next LT Pro;sans-serif"/>
          <w:color w:val="000000"/>
          <w:sz w:val="24"/>
        </w:rPr>
        <w:t>Launched first-in-class OCS NOP digital ecosystem, NOP ACCESS</w:t>
      </w:r>
      <w:r>
        <w:rPr>
          <w:rFonts w:ascii="Avenir Next LT Pro;sans-serif" w:hAnsi="Avenir Next LT Pro;sans-serif"/>
          <w:color w:val="000000"/>
          <w:sz w:val="16"/>
        </w:rPr>
        <w:t>TM</w:t>
      </w:r>
      <w:r>
        <w:rPr>
          <w:rFonts w:ascii="Avenir Next LT Pro;sans-serif" w:hAnsi="Avenir Next LT Pro;sans-serif"/>
          <w:color w:val="000000"/>
          <w:sz w:val="24"/>
        </w:rPr>
        <w:t>, across major NOP</w:t>
      </w:r>
      <w:r>
        <w:rPr>
          <w:rFonts w:ascii="Avenir Next LT Pro;sans-serif" w:hAnsi="Avenir Next LT Pro;sans-serif"/>
          <w:color w:val="000000"/>
          <w:sz w:val="16"/>
        </w:rPr>
        <w:t>TM</w:t>
      </w:r>
      <w:r>
        <w:rPr>
          <w:color w:val="000000"/>
        </w:rPr>
        <w:t xml:space="preserve"> </w:t>
      </w:r>
      <w:r>
        <w:rPr>
          <w:rFonts w:ascii="Avenir Next LT Pro;sans-serif" w:hAnsi="Avenir Next LT Pro;sans-serif"/>
          <w:color w:val="000000"/>
          <w:sz w:val="24"/>
        </w:rPr>
        <w:t xml:space="preserve">transplant programs across the U.S. </w:t>
      </w:r>
    </w:p>
    <w:p>
      <w:pPr>
        <w:pStyle w:val="TextBody"/>
        <w:bidi w:val="0"/>
        <w:spacing w:before="0" w:after="0"/>
        <w:jc w:val="left"/>
        <w:rPr>
          <w:color w:val="761928"/>
        </w:rPr>
      </w:pPr>
      <w:r>
        <w:rPr>
          <w:color w:val="761928"/>
        </w:rPr>
        <w:t>▪</w:t>
      </w:r>
    </w:p>
    <w:p>
      <w:pPr>
        <w:pStyle w:val="TextBody"/>
        <w:bidi w:val="0"/>
        <w:jc w:val="left"/>
        <w:rPr>
          <w:rFonts w:ascii="Avenir Next LT Pro;sans-serif" w:hAnsi="Avenir Next LT Pro;sans-serif"/>
          <w:color w:val="000000"/>
          <w:sz w:val="24"/>
        </w:rPr>
      </w:pPr>
      <w:r>
        <w:rPr>
          <w:rFonts w:ascii="Avenir Next LT Pro;sans-serif" w:hAnsi="Avenir Next LT Pro;sans-serif"/>
          <w:color w:val="000000"/>
          <w:sz w:val="24"/>
        </w:rPr>
        <w:t>Raising full year 2025 revenue guidance to $585 million to $605 million</w:t>
      </w:r>
    </w:p>
    <w:p>
      <w:pPr>
        <w:pStyle w:val="TextBody"/>
        <w:bidi w:val="0"/>
        <w:jc w:val="left"/>
        <w:rPr/>
      </w:pPr>
      <w:r>
        <w:rPr/>
        <w:t> </w:t>
      </w:r>
    </w:p>
    <w:p>
      <w:pPr>
        <w:pStyle w:val="TextBody"/>
        <w:bidi w:val="0"/>
        <w:jc w:val="left"/>
        <w:rPr/>
      </w:pPr>
      <w:r>
        <w:rPr>
          <w:color w:val="000000"/>
        </w:rPr>
        <w:t>“</w:t>
      </w:r>
      <w:r>
        <w:rPr>
          <w:rFonts w:ascii="Avenir Next LT Pro;sans-serif" w:hAnsi="Avenir Next LT Pro;sans-serif"/>
          <w:color w:val="000000"/>
          <w:sz w:val="24"/>
        </w:rPr>
        <w:t>We are proud to report another strong quarter, marked by profitable year-over-year revenue growth of 38%. Our consistent performance across all areas of the business reflects the successful execution of our strategy, the differentiated value our OCS</w:t>
      </w:r>
      <w:r>
        <w:rPr>
          <w:rFonts w:ascii="Times New Roman" w:hAnsi="Times New Roman"/>
          <w:color w:val="000000"/>
          <w:sz w:val="20"/>
        </w:rPr>
        <w:t xml:space="preserve"> </w:t>
      </w:r>
      <w:r>
        <w:rPr>
          <w:rFonts w:ascii="Avenir Next LT Pro;sans-serif" w:hAnsi="Avenir Next LT Pro;sans-serif"/>
          <w:color w:val="000000"/>
          <w:sz w:val="24"/>
        </w:rPr>
        <w:t>and NOP platforms, and our unique leadership position in the transplant market,” said Waleed Hassanein, MD, President and Chief Executive Officer. “Looking ahead, we are confident in our strategy and remain laser focused on achieving and surpassing the target of 10,000 US NOP transplants in 2028, while ramping up investments to drive the next several waves of growth aimed at delivering significant top-and bottom-line growth for our business.”</w:t>
      </w:r>
    </w:p>
    <w:p>
      <w:pPr>
        <w:pStyle w:val="TextBody"/>
        <w:bidi w:val="0"/>
        <w:jc w:val="left"/>
        <w:rPr/>
      </w:pPr>
      <w:r>
        <w:rPr/>
        <w:t> </w:t>
      </w:r>
    </w:p>
    <w:p>
      <w:pPr>
        <w:pStyle w:val="TextBody"/>
        <w:bidi w:val="0"/>
        <w:jc w:val="left"/>
        <w:rPr>
          <w:rFonts w:ascii="Times New Roman" w:hAnsi="Times New Roman"/>
          <w:sz w:val="20"/>
        </w:rPr>
      </w:pPr>
      <w:r>
        <w:rPr>
          <w:rFonts w:ascii="Avenir Next LT Pro;sans-serif" w:hAnsi="Avenir Next LT Pro;sans-serif"/>
          <w:b/>
          <w:color w:val="000000"/>
          <w:sz w:val="24"/>
        </w:rPr>
        <w:t>Second Quarter 2025 Financial Results</w:t>
      </w:r>
      <w:r>
        <w:rPr>
          <w:rFonts w:ascii="Times New Roman" w:hAnsi="Times New Roman"/>
          <w:color w:val="FF0000"/>
          <w:sz w:val="20"/>
        </w:rPr>
        <w:t xml:space="preserve"> </w:t>
      </w:r>
    </w:p>
    <w:p>
      <w:pPr>
        <w:pStyle w:val="TextBody"/>
        <w:bidi w:val="0"/>
        <w:jc w:val="left"/>
        <w:rPr>
          <w:rFonts w:ascii="Avenir Next LT Pro;sans-serif" w:hAnsi="Avenir Next LT Pro;sans-serif"/>
          <w:color w:val="000000"/>
          <w:sz w:val="24"/>
        </w:rPr>
      </w:pPr>
      <w:r>
        <w:rPr>
          <w:rFonts w:ascii="Avenir Next LT Pro;sans-serif" w:hAnsi="Avenir Next LT Pro;sans-serif"/>
          <w:color w:val="000000"/>
          <w:sz w:val="24"/>
        </w:rPr>
        <w:t>Total revenue for the second quarter of 2025 was $157.4 million, a 38% increase compared to $114.3 million in the second quarter of 2024. The increase was due primarily to the increase in utilization of the Organ Care System (“OCS”), primarily in Liver and Heart through the National OCS Program ("NOP") and related NOP service revenue fueled by the continued expansion and utilization of our aviation fleet.</w:t>
      </w:r>
    </w:p>
    <w:p>
      <w:pPr>
        <w:pStyle w:val="TextBody"/>
        <w:bidi w:val="0"/>
        <w:jc w:val="left"/>
        <w:rPr/>
      </w:pPr>
      <w:r>
        <w:rPr/>
        <w:t> </w:t>
      </w:r>
    </w:p>
    <w:p>
      <w:pPr>
        <w:pStyle w:val="TextBody"/>
        <w:bidi w:val="0"/>
        <w:jc w:val="left"/>
        <w:rPr>
          <w:rFonts w:ascii="Times New Roman" w:hAnsi="Times New Roman"/>
          <w:sz w:val="20"/>
        </w:rPr>
      </w:pPr>
      <w:r>
        <w:rPr>
          <w:rFonts w:ascii="Avenir Next LT Pro;sans-serif" w:hAnsi="Avenir Next LT Pro;sans-serif"/>
          <w:color w:val="000000"/>
          <w:sz w:val="24"/>
        </w:rPr>
        <w:t>Gross margin for the second quarter of 2025 was 61% consistent with the second quarter of 2024.</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venir Next LT Pro;sans-serif" w:hAnsi="Avenir Next LT Pro;sans-serif"/>
          <w:color w:val="000000"/>
          <w:sz w:val="24"/>
        </w:rPr>
        <w:t>Operating expenses for the second quarter of 2025 were $60.0 million, compared to $56.8 million in the second quarter of 2024. The increase in operating expenses was driven primarily by increased research and development investment as well as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venir Next LT Pro;sans-serif" w:hAnsi="Avenir Next LT Pro;sans-serif"/>
          <w:color w:val="000000"/>
          <w:sz w:val="24"/>
        </w:rPr>
      </w:pPr>
      <w:r>
        <w:rPr>
          <w:rFonts w:ascii="Avenir Next LT Pro;sans-serif" w:hAnsi="Avenir Next LT Pro;sans-serif"/>
          <w:color w:val="000000"/>
          <w:sz w:val="24"/>
        </w:rPr>
        <w:t>investment throughout the organization to support the growth of the company. Second quarter operating expenses in 2025 included $9.0 million of stock compensation expense compared to $7.3 million of stock compensation expense in the second quarter of 2024.</w:t>
      </w:r>
    </w:p>
    <w:p>
      <w:pPr>
        <w:pStyle w:val="TextBody"/>
        <w:bidi w:val="0"/>
        <w:jc w:val="left"/>
        <w:rPr/>
      </w:pPr>
      <w:r>
        <w:rPr/>
        <w:t> </w:t>
      </w:r>
    </w:p>
    <w:p>
      <w:pPr>
        <w:pStyle w:val="TextBody"/>
        <w:bidi w:val="0"/>
        <w:jc w:val="left"/>
        <w:rPr>
          <w:rFonts w:ascii="Times New Roman" w:hAnsi="Times New Roman"/>
          <w:sz w:val="20"/>
        </w:rPr>
      </w:pPr>
      <w:r>
        <w:rPr>
          <w:rFonts w:ascii="Avenir Next LT Pro;sans-serif" w:hAnsi="Avenir Next LT Pro;sans-serif"/>
          <w:color w:val="000000"/>
          <w:sz w:val="24"/>
        </w:rPr>
        <w:t>Net income for the second quarter of 2025 was $34.9 million, 22% of revenue, compared to net income of $12.2 million in the second quarter of 2024.</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venir Next LT Pro;sans-serif" w:hAnsi="Avenir Next LT Pro;sans-serif"/>
          <w:color w:val="000000"/>
          <w:sz w:val="24"/>
        </w:rPr>
      </w:pPr>
      <w:r>
        <w:rPr>
          <w:rFonts w:ascii="Avenir Next LT Pro;sans-serif" w:hAnsi="Avenir Next LT Pro;sans-serif"/>
          <w:color w:val="000000"/>
          <w:sz w:val="24"/>
        </w:rPr>
        <w:t>Cash was $400.6 million as of June 30, 2025.</w:t>
      </w:r>
    </w:p>
    <w:p>
      <w:pPr>
        <w:pStyle w:val="TextBody"/>
        <w:bidi w:val="0"/>
        <w:jc w:val="left"/>
        <w:rPr/>
      </w:pPr>
      <w:r>
        <w:rPr/>
        <w:t> </w:t>
      </w:r>
    </w:p>
    <w:p>
      <w:pPr>
        <w:pStyle w:val="TextBody"/>
        <w:bidi w:val="0"/>
        <w:jc w:val="left"/>
        <w:rPr>
          <w:rFonts w:ascii="Avenir Next LT Pro;sans-serif" w:hAnsi="Avenir Next LT Pro;sans-serif"/>
          <w:b/>
          <w:color w:val="000000"/>
          <w:sz w:val="24"/>
        </w:rPr>
      </w:pPr>
      <w:r>
        <w:rPr>
          <w:rFonts w:ascii="Avenir Next LT Pro;sans-serif" w:hAnsi="Avenir Next LT Pro;sans-serif"/>
          <w:b/>
          <w:color w:val="000000"/>
          <w:sz w:val="24"/>
        </w:rPr>
        <w:t>2025 Financial Outlook</w:t>
      </w:r>
    </w:p>
    <w:p>
      <w:pPr>
        <w:pStyle w:val="TextBody"/>
        <w:bidi w:val="0"/>
        <w:jc w:val="left"/>
        <w:rPr>
          <w:rFonts w:ascii="Avenir Next LT Pro;sans-serif" w:hAnsi="Avenir Next LT Pro;sans-serif"/>
          <w:color w:val="000000"/>
          <w:sz w:val="24"/>
        </w:rPr>
      </w:pPr>
      <w:r>
        <w:rPr>
          <w:rFonts w:ascii="Avenir Next LT Pro;sans-serif" w:hAnsi="Avenir Next LT Pro;sans-serif"/>
          <w:color w:val="000000"/>
          <w:sz w:val="24"/>
        </w:rPr>
        <w:t>TransMedics is raising its full year 2025 revenue guidance to be in the range of $585 million to $605 million, which represents 35% growth at the midpoint compared to the company’s prior year revenue. TransMedics’ full year 2025 revenue guidance as reported on May 8, 2025 was previously in the range of $565 million to $585 million.</w:t>
      </w:r>
    </w:p>
    <w:p>
      <w:pPr>
        <w:pStyle w:val="TextBody"/>
        <w:bidi w:val="0"/>
        <w:jc w:val="left"/>
        <w:rPr/>
      </w:pPr>
      <w:r>
        <w:rPr/>
        <w:t> </w:t>
      </w:r>
    </w:p>
    <w:p>
      <w:pPr>
        <w:pStyle w:val="TextBody"/>
        <w:bidi w:val="0"/>
        <w:jc w:val="left"/>
        <w:rPr>
          <w:rFonts w:ascii="Avenir Next LT Pro;sans-serif" w:hAnsi="Avenir Next LT Pro;sans-serif"/>
          <w:b/>
          <w:color w:val="000000"/>
          <w:sz w:val="24"/>
        </w:rPr>
      </w:pPr>
      <w:r>
        <w:rPr>
          <w:rFonts w:ascii="Avenir Next LT Pro;sans-serif" w:hAnsi="Avenir Next LT Pro;sans-serif"/>
          <w:b/>
          <w:color w:val="000000"/>
          <w:sz w:val="24"/>
        </w:rPr>
        <w:t>Webcast and Conference Call Details</w:t>
      </w:r>
    </w:p>
    <w:p>
      <w:pPr>
        <w:pStyle w:val="TextBody"/>
        <w:bidi w:val="0"/>
        <w:spacing w:before="0" w:after="260"/>
        <w:jc w:val="left"/>
        <w:rPr>
          <w:rFonts w:ascii="Times New Roman" w:hAnsi="Times New Roman"/>
          <w:sz w:val="20"/>
        </w:rPr>
      </w:pPr>
      <w:r>
        <w:rPr>
          <w:rFonts w:ascii="Avenir Next LT Pro;sans-serif" w:hAnsi="Avenir Next LT Pro;sans-serif"/>
          <w:color w:val="000000"/>
          <w:sz w:val="24"/>
        </w:rPr>
        <w:t xml:space="preserve">The TransMedics management team will host a conference call beginning at 4:30 p.m. ET / 1:30 p.m. PT on Thursday, July 30, 2025. Investors interested in listening to the conference call may do so by dialing (844) 676-6010 for domestic callers or (412) 634-6944 for international callers and ask to be joined into the TransMedics call. A live and archived webcast of the event and the company’s slide presentation with information on second quarter 2025 financial results will be available on the “Investors” section of the TransMedics website at </w:t>
      </w:r>
      <w:r>
        <w:rPr>
          <w:rFonts w:ascii="Avenir Next LT Pro;sans-serif" w:hAnsi="Avenir Next LT Pro;sans-serif"/>
          <w:sz w:val="24"/>
        </w:rPr>
        <w:t>www.transmedics.com</w:t>
      </w:r>
      <w:r>
        <w:rPr>
          <w:rFonts w:ascii="Avenir Next LT Pro;sans-serif" w:hAnsi="Avenir Next LT Pro;sans-serif"/>
          <w:color w:val="0563C1"/>
          <w:sz w:val="24"/>
        </w:rPr>
        <w:t>.</w:t>
      </w:r>
      <w:r>
        <w:rPr>
          <w:rFonts w:ascii="Times New Roman" w:hAnsi="Times New Roman"/>
          <w:color w:val="0563C1"/>
          <w:sz w:val="20"/>
        </w:rPr>
        <w:t xml:space="preserve"> </w:t>
      </w:r>
    </w:p>
    <w:p>
      <w:pPr>
        <w:pStyle w:val="TextBody"/>
        <w:bidi w:val="0"/>
        <w:jc w:val="left"/>
        <w:rPr>
          <w:rFonts w:ascii="Avenir Next LT Pro;sans-serif" w:hAnsi="Avenir Next LT Pro;sans-serif"/>
          <w:b/>
          <w:color w:val="000000"/>
          <w:sz w:val="24"/>
        </w:rPr>
      </w:pPr>
      <w:bookmarkStart w:id="11" w:name="bookmark18"/>
      <w:bookmarkStart w:id="12" w:name="bookmark20"/>
      <w:bookmarkStart w:id="13" w:name="bookmark19"/>
      <w:bookmarkEnd w:id="11"/>
      <w:bookmarkEnd w:id="12"/>
      <w:bookmarkEnd w:id="13"/>
      <w:r>
        <w:rPr>
          <w:rFonts w:ascii="Avenir Next LT Pro;sans-serif" w:hAnsi="Avenir Next LT Pro;sans-serif"/>
          <w:b/>
          <w:color w:val="000000"/>
          <w:sz w:val="24"/>
        </w:rPr>
        <w:t>About TransMedics Group, Inc.</w:t>
      </w:r>
    </w:p>
    <w:p>
      <w:pPr>
        <w:pStyle w:val="TextBody"/>
        <w:bidi w:val="0"/>
        <w:spacing w:before="0" w:after="260"/>
        <w:jc w:val="left"/>
        <w:rPr>
          <w:rFonts w:ascii="Avenir Next LT Pro;sans-serif" w:hAnsi="Avenir Next LT Pro;sans-serif"/>
          <w:color w:val="000000"/>
          <w:sz w:val="24"/>
        </w:rPr>
      </w:pPr>
      <w:r>
        <w:rPr>
          <w:rFonts w:ascii="Avenir Next LT Pro;sans-serif" w:hAnsi="Avenir Next LT Pro;sans-serif"/>
          <w:color w:val="000000"/>
          <w:sz w:val="24"/>
        </w:rPr>
        <w:t>TransMedics is the world’s leader in portable extracorporeal warm perfusion and assessment of donor organs for transplantation. Headquartered in Andover, Massachusetts, the company was founded to address the unmet need for more and better organs for transplantation and has developed technologies to preserve organ quality, assess organ viability prior to transplant, and potentially increase the utilization of donor organs for the treatment of end-stage heart, lung, and liver failure.</w:t>
      </w:r>
    </w:p>
    <w:p>
      <w:pPr>
        <w:pStyle w:val="TextBody"/>
        <w:bidi w:val="0"/>
        <w:jc w:val="left"/>
        <w:rPr>
          <w:rFonts w:ascii="Avenir Next LT Pro;sans-serif" w:hAnsi="Avenir Next LT Pro;sans-serif"/>
          <w:b/>
          <w:color w:val="000000"/>
          <w:sz w:val="24"/>
        </w:rPr>
      </w:pPr>
      <w:bookmarkStart w:id="14" w:name="bookmark25"/>
      <w:bookmarkStart w:id="15" w:name="bookmark21"/>
      <w:bookmarkStart w:id="16" w:name="bookmark22"/>
      <w:bookmarkStart w:id="17" w:name="bookmark26"/>
      <w:bookmarkStart w:id="18" w:name="bookmark24"/>
      <w:bookmarkStart w:id="19" w:name="bookmark23"/>
      <w:bookmarkEnd w:id="14"/>
      <w:bookmarkEnd w:id="15"/>
      <w:bookmarkEnd w:id="16"/>
      <w:bookmarkEnd w:id="17"/>
      <w:bookmarkEnd w:id="18"/>
      <w:bookmarkEnd w:id="19"/>
      <w:r>
        <w:rPr>
          <w:rFonts w:ascii="Avenir Next LT Pro;sans-serif" w:hAnsi="Avenir Next LT Pro;sans-serif"/>
          <w:b/>
          <w:color w:val="000000"/>
          <w:sz w:val="24"/>
        </w:rPr>
        <w:t>Forward-Looking Statements</w:t>
      </w:r>
    </w:p>
    <w:p>
      <w:pPr>
        <w:pStyle w:val="TextBody"/>
        <w:bidi w:val="0"/>
        <w:spacing w:before="0" w:after="260"/>
        <w:jc w:val="left"/>
        <w:rPr>
          <w:rFonts w:ascii="Times New Roman" w:hAnsi="Times New Roman"/>
          <w:sz w:val="20"/>
        </w:rPr>
      </w:pPr>
      <w:r>
        <w:rPr>
          <w:rFonts w:ascii="Avenir Next LT Pro;sans-serif" w:hAnsi="Avenir Next LT Pro;sans-serif"/>
          <w:color w:val="000000"/>
          <w:sz w:val="24"/>
        </w:rPr>
        <w:t>This press release contains forward-looking statements. These forward-looking statements address various matters, including, among other things, future results and events, including financial guidance and projected estimates, and statements about our strategy, our focus on achieving and surpassing the target of 10,000 US NOP transplants in 2028, investments to drive waves of growth, and financial and business growth. For this purpose, all statements other than statements of historical facts are forward-looking statements. The words “believe,” “may,” “will,” “estimate,” “continue,” “anticipate,” “intend,” “expect,” “should,” “could,” “target,” “predict,” “seek” and similar expressions are intended to identify forward-looking statements. These forward-looking statements are subject to a number of risks and uncertainties. Our management cannot predict all risks, nor can we assess the impact of all factors or the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60"/>
        <w:jc w:val="left"/>
        <w:rPr>
          <w:rFonts w:ascii="Times New Roman" w:hAnsi="Times New Roman"/>
          <w:sz w:val="20"/>
        </w:rPr>
      </w:pPr>
      <w:r>
        <w:rPr>
          <w:rFonts w:ascii="Avenir Next LT Pro;sans-serif" w:hAnsi="Avenir Next LT Pro;sans-serif"/>
          <w:color w:val="000000"/>
          <w:sz w:val="24"/>
        </w:rPr>
        <w:t>extent to which any factor, or combination of factors, may cause actual results to differ materially from those contained in or implied by any forward-looking statements we may make. In light of these risks and uncertainties, the forward-looking events and circumstances discussed in this press release may not occur and actual results could differ materially and adversely from those anticipated in or implied by the forward-looking statements. Some of the key factors that could cause actual results to differ include: the fluctuation of our financial results from quarter to quarter; our ability to attract, train, and retain key personnel; our existing and any future indebtedness, including our ability to comply with affirmative and negative covenants under our credit agreements to which we will remain subject until maturity; our ability to sustain profitability; our need to raise additional funding and our ability to obtain it on favorable terms, or at all; our ability to use net operating losses and research and development credit carryforwards; that we have identified a material weakness in our internal control over financial reporting, and that we may identify additional material weaknesses in the future; our dependence on the success of the Organ Care System (“OCS”); our ability to expand access to the OCS through our National OCS Program (“NOP”); our ability to improve the OCS platform, including by developing the next generation of the OCS products or expanding into new indications; our ability to scale our manufacturing and sterilization capabilities to meet increasing demand for our products; the rate and degree of market acceptance of the OCS; our ability to educate patients, surgeons, transplant centers and private and public payors of benefits offered by the OCS; our dependence on a limited number of customers for a significant portion of our revenue; our ability to maintain regulatory approvals or clearances for our OCS products in the United States, the European Union, and other select jurisdictions worldwide; our ability to adequately respond to Food and Drug Administration (“FDA”), or other competent authorities, follow-up inquiries in a timely manner; the impact of healthcare policy changes, including recently enacted or potential future legislation reforming the U.S. healthcare system or the FDA; the performance of our third-party suppliers and manufacturers; our use of third parties to transport donor organs and medical personnel for our NOP and our ability to maintain and grow our logistics capabilities to support our NOP to reduce dependence on third party transportation, including by means of attracting, training and retaining pilots, and the acquisition, maintenance or replacement of fixed-wing aircraft for our aviation transportation services or other acquisitions, joint ventures or strategic investments; our ability to maintain Federal Aviation Administration (“FAA”) or other regulatory licenses or approvals for our aircraft transportation services; price increases of the components of our products and maintenance, parts and fuel for our aircraft; the timing or results of post-approval studies and any clinical trials for the OCS; our manufacturing, sales, marketing and clinical support capabilities and strategy; attacks against our information technology infrastructure; the economic, political and other risks associated with our foreign operations; our ability to protect, defend, maintain and enforce our intellectual property rights relating to the OCS and avoid allegations that our products or services infringe, misappropriate or otherwise violate the intellectual property rights of third parties; the pricing of the OCS, as well as the reimbursement coverage for the OCS in the United States and internationally;</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60"/>
        <w:jc w:val="left"/>
        <w:rPr>
          <w:rFonts w:ascii="Avenir Next LT Pro;sans-serif" w:hAnsi="Avenir Next LT Pro;sans-serif"/>
          <w:color w:val="000000"/>
          <w:sz w:val="24"/>
        </w:rPr>
      </w:pPr>
      <w:r>
        <w:rPr>
          <w:rFonts w:ascii="Avenir Next LT Pro;sans-serif" w:hAnsi="Avenir Next LT Pro;sans-serif"/>
          <w:color w:val="000000"/>
          <w:sz w:val="24"/>
        </w:rPr>
        <w:t>regulatory developments in the United States, European Union and other jurisdictions; the extent and success of competing products or procedures that are or may become available; our ability to service our 1.50% convertible senior notes, due 2028; the impact of any product recalls or improper use of our products; our estimates regarding revenues, expenses and needs for additional financing; and other factors that may be described in our filings with the Securities and Exchange Commission (the “SEC”). Additional information will be made available in our annual and quarterly reports and other filings that we make with the SEC. The forward-looking statements in this press release speak only as of the date of this press release. Factors or events that could cause our actual results to differ may emerge from time to time, and we are not able to predict all of them. We undertake no obligation to update any forward-looking statement, whether as a result of new information, future developments or otherwise, except as may be required by applicable law.</w:t>
      </w:r>
    </w:p>
    <w:p>
      <w:pPr>
        <w:pStyle w:val="TextBody"/>
        <w:bidi w:val="0"/>
        <w:jc w:val="left"/>
        <w:rPr>
          <w:rFonts w:ascii="Avenir Next LT Pro;sans-serif" w:hAnsi="Avenir Next LT Pro;sans-serif"/>
          <w:b/>
          <w:color w:val="000000"/>
          <w:sz w:val="24"/>
        </w:rPr>
      </w:pPr>
      <w:r>
        <w:rPr>
          <w:rFonts w:ascii="Avenir Next LT Pro;sans-serif" w:hAnsi="Avenir Next LT Pro;sans-serif"/>
          <w:b/>
          <w:color w:val="000000"/>
          <w:sz w:val="24"/>
        </w:rPr>
        <w:t>Investor Contact:</w:t>
      </w:r>
    </w:p>
    <w:p>
      <w:pPr>
        <w:pStyle w:val="TextBody"/>
        <w:bidi w:val="0"/>
        <w:jc w:val="left"/>
        <w:rPr>
          <w:rFonts w:ascii="Avenir Next LT Pro;sans-serif" w:hAnsi="Avenir Next LT Pro;sans-serif"/>
          <w:color w:val="000000"/>
          <w:sz w:val="24"/>
        </w:rPr>
      </w:pPr>
      <w:r>
        <w:rPr>
          <w:rFonts w:ascii="Avenir Next LT Pro;sans-serif" w:hAnsi="Avenir Next LT Pro;sans-serif"/>
          <w:color w:val="000000"/>
          <w:sz w:val="24"/>
        </w:rPr>
        <w:t>Brian Johnston</w:t>
      </w:r>
    </w:p>
    <w:p>
      <w:pPr>
        <w:pStyle w:val="TextBody"/>
        <w:bidi w:val="0"/>
        <w:jc w:val="left"/>
        <w:rPr>
          <w:rFonts w:ascii="Times New Roman" w:hAnsi="Times New Roman"/>
          <w:sz w:val="20"/>
        </w:rPr>
      </w:pPr>
      <w:r>
        <w:rPr>
          <w:rFonts w:ascii="Avenir Next LT Pro;sans-serif" w:hAnsi="Avenir Next LT Pro;sans-serif"/>
          <w:color w:val="000000"/>
          <w:sz w:val="24"/>
        </w:rPr>
        <w:t>Laine Morgan</w:t>
      </w:r>
      <w:r>
        <w:rPr>
          <w:rFonts w:ascii="Times New Roman" w:hAnsi="Times New Roman"/>
          <w:color w:val="000000"/>
          <w:sz w:val="20"/>
        </w:rPr>
        <w:t xml:space="preserve"> </w:t>
      </w:r>
    </w:p>
    <w:p>
      <w:pPr>
        <w:pStyle w:val="TextBody"/>
        <w:bidi w:val="0"/>
        <w:jc w:val="left"/>
        <w:rPr>
          <w:rFonts w:ascii="Avenir Next LT Pro;sans-serif" w:hAnsi="Avenir Next LT Pro;sans-serif"/>
          <w:color w:val="000000"/>
          <w:sz w:val="24"/>
        </w:rPr>
      </w:pPr>
      <w:r>
        <w:rPr>
          <w:rFonts w:ascii="Avenir Next LT Pro;sans-serif" w:hAnsi="Avenir Next LT Pro;sans-serif"/>
          <w:color w:val="000000"/>
          <w:sz w:val="24"/>
        </w:rPr>
        <w:t>332-895-3222</w:t>
      </w:r>
    </w:p>
    <w:p>
      <w:pPr>
        <w:pStyle w:val="TextBody"/>
        <w:bidi w:val="0"/>
        <w:jc w:val="left"/>
        <w:rPr>
          <w:rFonts w:ascii="Avenir Next LT Pro;sans-serif" w:hAnsi="Avenir Next LT Pro;sans-serif"/>
          <w:color w:val="0563C1"/>
          <w:sz w:val="24"/>
        </w:rPr>
      </w:pPr>
      <w:r>
        <w:rPr>
          <w:rFonts w:ascii="Avenir Next LT Pro;sans-serif" w:hAnsi="Avenir Next LT Pro;sans-serif"/>
          <w:color w:val="0563C1"/>
          <w:sz w:val="24"/>
        </w:rPr>
        <w:t>Investors@transmedics.com</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40"/>
        <w:jc w:val="left"/>
        <w:rPr/>
      </w:pPr>
      <w:r>
        <w:rPr/>
        <w:t> </w:t>
      </w:r>
    </w:p>
    <w:p>
      <w:pPr>
        <w:pStyle w:val="TextBody"/>
        <w:bidi w:val="0"/>
        <w:spacing w:before="0" w:after="40"/>
        <w:jc w:val="left"/>
        <w:rPr/>
      </w:pPr>
      <w:r>
        <w:rPr/>
        <w:t> </w:t>
      </w:r>
    </w:p>
    <w:p>
      <w:pPr>
        <w:pStyle w:val="TextBody"/>
        <w:bidi w:val="0"/>
        <w:spacing w:before="0" w:after="40"/>
        <w:jc w:val="left"/>
        <w:rPr/>
      </w:pPr>
      <w:r>
        <w:rPr/>
        <w:t> </w:t>
      </w:r>
    </w:p>
    <w:p>
      <w:pPr>
        <w:pStyle w:val="TextBody"/>
        <w:bidi w:val="0"/>
        <w:spacing w:before="0" w:after="4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0"/>
        <w:jc w:val="center"/>
        <w:rPr>
          <w:rFonts w:ascii="Avenir Next LT Pro;sans-serif" w:hAnsi="Avenir Next LT Pro;sans-serif"/>
          <w:b/>
          <w:color w:val="000000"/>
          <w:sz w:val="20"/>
        </w:rPr>
      </w:pPr>
      <w:r>
        <w:rPr>
          <w:rFonts w:ascii="Avenir Next LT Pro;sans-serif" w:hAnsi="Avenir Next LT Pro;sans-serif"/>
          <w:b/>
          <w:color w:val="000000"/>
          <w:sz w:val="20"/>
        </w:rPr>
        <w:t>TransMedics Group, Inc.</w:t>
        <w:br/>
        <w:t>CONSOLIDATED STATEMENTS OF OPERATIONS</w:t>
        <w:br/>
        <w:t>(in thousands, except share and per share data)</w:t>
        <w:br/>
        <w:t>(unaudited)</w:t>
      </w:r>
    </w:p>
    <w:p>
      <w:pPr>
        <w:pStyle w:val="TextBody"/>
        <w:bidi w:val="0"/>
        <w:spacing w:before="0" w:after="40"/>
        <w:jc w:val="center"/>
        <w:rPr/>
      </w:pPr>
      <w:r>
        <w:rPr/>
        <w:t> </w:t>
      </w:r>
    </w:p>
    <w:tbl>
      <w:tblPr>
        <w:tblW w:w="10205" w:type="dxa"/>
        <w:jc w:val="left"/>
        <w:tblInd w:w="0" w:type="dxa"/>
        <w:tblLayout w:type="fixed"/>
        <w:tblCellMar>
          <w:top w:w="28" w:type="dxa"/>
          <w:left w:w="28" w:type="dxa"/>
          <w:bottom w:w="28" w:type="dxa"/>
          <w:right w:w="28" w:type="dxa"/>
        </w:tblCellMar>
      </w:tblPr>
      <w:tblGrid>
        <w:gridCol w:w="3014"/>
        <w:gridCol w:w="746"/>
        <w:gridCol w:w="196"/>
        <w:gridCol w:w="916"/>
        <w:gridCol w:w="256"/>
        <w:gridCol w:w="146"/>
        <w:gridCol w:w="196"/>
        <w:gridCol w:w="916"/>
        <w:gridCol w:w="256"/>
        <w:gridCol w:w="146"/>
        <w:gridCol w:w="196"/>
        <w:gridCol w:w="916"/>
        <w:gridCol w:w="256"/>
        <w:gridCol w:w="146"/>
        <w:gridCol w:w="196"/>
        <w:gridCol w:w="916"/>
        <w:gridCol w:w="791"/>
      </w:tblGrid>
      <w:tr>
        <w:trPr/>
        <w:tc>
          <w:tcPr>
            <w:tcW w:w="301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0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 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 Ended June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01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Net product revenue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96,100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71,732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184,334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133,057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01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Service revenue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61,270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42,573</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116,573</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78,098</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01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revenue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157,370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114,305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300,907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211,155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01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Cost of net product revenue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19,421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14,470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35,733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28,554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01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Cost of service revenue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41,360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30,574</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80,357</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53,378</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01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cost of revenue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60,781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45,044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116,090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81,932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01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Gross profit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96,589</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69,261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184,817</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129,223</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01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margin</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01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Research, development and clinical trials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15,934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13,858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33,094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25,238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01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Selling, general and administrative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44,088</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42,895</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87,713</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79,056</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01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operating expenses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60,022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56,753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120,807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104,294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from operations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36,567</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12,508</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64,010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24,929</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01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Interest expense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(6,937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(7,221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301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Interest income and other income (expense), net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6,838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0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other expense, net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(1,152</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before income taxes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36,182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12,153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62,858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24,546</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benefit for income taxes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(1,275</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(2,269</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34,907</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12,194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60,589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24,391</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per share:</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0.70</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common shares outstanding:</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33,912,669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33,119,514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33,817,664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32,939,852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40,558,953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35,288,308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40,238,501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34,983,603</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venir Next LT Pro;sans-serif" w:hAnsi="Avenir Next LT Pro;sans-serif"/>
          <w:b/>
          <w:color w:val="000000"/>
          <w:sz w:val="20"/>
        </w:rPr>
      </w:pPr>
      <w:r>
        <w:rPr>
          <w:rFonts w:ascii="Avenir Next LT Pro;sans-serif" w:hAnsi="Avenir Next LT Pro;sans-serif"/>
          <w:b/>
          <w:color w:val="000000"/>
          <w:sz w:val="20"/>
        </w:rPr>
        <w:t>TransMedics Group, Inc.</w:t>
        <w:br/>
        <w:t>CONDENSED CONSOLIDATED BALANCE SHEETS</w:t>
        <w:br/>
        <w:t>(in thousands)</w:t>
        <w:br/>
        <w:t>(unaudited)</w:t>
      </w:r>
    </w:p>
    <w:p>
      <w:pPr>
        <w:pStyle w:val="TextBody"/>
        <w:bidi w:val="0"/>
        <w:jc w:val="center"/>
        <w:rPr/>
      </w:pPr>
      <w:r>
        <w:rPr/>
        <w:t> </w:t>
      </w:r>
    </w:p>
    <w:tbl>
      <w:tblPr>
        <w:tblW w:w="7185" w:type="dxa"/>
        <w:jc w:val="left"/>
        <w:tblInd w:w="0" w:type="dxa"/>
        <w:tblLayout w:type="fixed"/>
        <w:tblCellMar>
          <w:top w:w="28" w:type="dxa"/>
          <w:left w:w="28" w:type="dxa"/>
          <w:bottom w:w="28" w:type="dxa"/>
          <w:right w:w="28" w:type="dxa"/>
        </w:tblCellMar>
      </w:tblPr>
      <w:tblGrid>
        <w:gridCol w:w="3531"/>
        <w:gridCol w:w="146"/>
        <w:gridCol w:w="248"/>
        <w:gridCol w:w="877"/>
        <w:gridCol w:w="146"/>
        <w:gridCol w:w="146"/>
        <w:gridCol w:w="331"/>
        <w:gridCol w:w="1169"/>
        <w:gridCol w:w="591"/>
      </w:tblGrid>
      <w:tr>
        <w:trPr/>
        <w:tc>
          <w:tcPr>
            <w:tcW w:w="3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336,650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104,851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97,722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46,554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16,290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558,129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497,216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312,255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285,970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6,481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11,549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Acquired 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890,522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804,076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10,292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45,152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56,620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59,913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Convertible senior notes,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451,364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449,939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59,372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572,421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575,473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318,101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228,603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890,522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804,076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venir Next LT Pr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2454</Words>
  <Characters>13752</Characters>
  <CharactersWithSpaces>16487</CharactersWithSpaces>
  <Paragraphs>921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