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8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8574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Khayal Tamer I</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TRANSMEDICS GROUP,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MINUTEMAN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TransMedics Group,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TMDX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01/07/2025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697"/>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ANDOVER</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01810</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01/07/2025</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1,083</w:t>
            </w:r>
          </w:p>
        </w:tc>
        <w:tc>
          <w:tcPr>
            <w:tcW w:w="68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13.28</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21,926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01/07/2025</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1,083</w:t>
            </w:r>
          </w:p>
        </w:tc>
        <w:tc>
          <w:tcPr>
            <w:tcW w:w="68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80.05</w:t>
            </w:r>
            <w:r>
              <w:rPr>
                <w:rFonts w:ascii="Times New Roman" w:cs="Times New Roman" w:eastAsia="Times New Roman" w:hAnsi="Times New Roman"/>
                <w:sz w:val="21"/>
                <w:szCs w:val="21"/>
                <w:color w:val="008000"/>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20,843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1"/>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13.28</w:t>
            </w:r>
          </w:p>
        </w:tc>
        <w:tc>
          <w:tcPr>
            <w:tcW w:w="16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01/07/2025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1,083</w:t>
            </w: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02/22/2032</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1,083</w:t>
            </w:r>
          </w:p>
        </w:tc>
        <w:tc>
          <w:tcPr>
            <w:tcW w:w="180" w:type="dxa"/>
            <w:vAlign w:val="bottom"/>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15,167</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were effected pursuant to a Rule 10b5-1 trading plan entered into on September 6, 2023.</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$80.00 to $80.16,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at a rate of 2.0833% of the total number of shares each month until the option is fully vested on February 22, 2026.</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Exhibit 24 - Power of Attorney</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By: /s/ Gerardo Hernandez,</w:t>
            </w:r>
          </w:p>
        </w:tc>
        <w:tc>
          <w:tcPr>
            <w:tcW w:w="18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01/10/2025</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LIMITED POWER OF ATTORNEY</w:t>
      </w:r>
    </w:p>
    <w:p>
      <w:pPr>
        <w:spacing w:after="0" w:line="225" w:lineRule="exact"/>
        <w:rPr>
          <w:sz w:val="20"/>
          <w:szCs w:val="20"/>
          <w:color w:val="auto"/>
        </w:rPr>
      </w:pPr>
    </w:p>
    <w:p>
      <w:pPr>
        <w:ind w:firstLine="731"/>
        <w:spacing w:after="0" w:line="276" w:lineRule="auto"/>
        <w:rPr>
          <w:sz w:val="20"/>
          <w:szCs w:val="20"/>
          <w:color w:val="auto"/>
        </w:rPr>
      </w:pPr>
      <w:r>
        <w:rPr>
          <w:rFonts w:ascii="Times New Roman" w:cs="Times New Roman" w:eastAsia="Times New Roman" w:hAnsi="Times New Roman"/>
          <w:sz w:val="19"/>
          <w:szCs w:val="19"/>
          <w:color w:val="auto"/>
        </w:rPr>
        <w:t>The undersigned hereby constitutes and appoints Waleed Hassanein, Gerardo Hernandez and Anil Ranganath, and each of them individually, with full power of substitution, as the undersigned’s true and lawful attorney-in-fact to:</w:t>
      </w:r>
    </w:p>
    <w:p>
      <w:pPr>
        <w:spacing w:after="0" w:line="160" w:lineRule="exact"/>
        <w:rPr>
          <w:sz w:val="20"/>
          <w:szCs w:val="20"/>
          <w:color w:val="auto"/>
        </w:rPr>
      </w:pPr>
    </w:p>
    <w:p>
      <w:pPr>
        <w:jc w:val="both"/>
        <w:ind w:left="1240" w:hanging="505"/>
        <w:spacing w:after="0" w:line="253" w:lineRule="auto"/>
        <w:tabs>
          <w:tab w:leader="none" w:pos="12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or any rule or regulation of the SEC;</w:t>
      </w:r>
    </w:p>
    <w:p>
      <w:pPr>
        <w:spacing w:after="0" w:line="182" w:lineRule="exact"/>
        <w:rPr>
          <w:rFonts w:ascii="Times New Roman" w:cs="Times New Roman" w:eastAsia="Times New Roman" w:hAnsi="Times New Roman"/>
          <w:sz w:val="19"/>
          <w:szCs w:val="19"/>
          <w:color w:val="auto"/>
        </w:rPr>
      </w:pPr>
    </w:p>
    <w:p>
      <w:pPr>
        <w:jc w:val="both"/>
        <w:ind w:left="1240" w:hanging="505"/>
        <w:spacing w:after="0" w:line="259" w:lineRule="auto"/>
        <w:tabs>
          <w:tab w:leader="none" w:pos="12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officer and/or director of TransMedics Group, Inc. (the “Company”), Forms 3, 4, 5 and any Schedules 13D or 13G in accordance with Section 16(a) of the Securities Exchange Act of 1934, as amended, and the rules thereunder;</w:t>
      </w:r>
    </w:p>
    <w:p>
      <w:pPr>
        <w:spacing w:after="0" w:line="175" w:lineRule="exact"/>
        <w:rPr>
          <w:rFonts w:ascii="Times New Roman" w:cs="Times New Roman" w:eastAsia="Times New Roman" w:hAnsi="Times New Roman"/>
          <w:sz w:val="19"/>
          <w:szCs w:val="19"/>
          <w:color w:val="auto"/>
        </w:rPr>
      </w:pPr>
    </w:p>
    <w:p>
      <w:pPr>
        <w:jc w:val="both"/>
        <w:ind w:left="1240" w:hanging="505"/>
        <w:spacing w:after="0" w:line="259" w:lineRule="auto"/>
        <w:tabs>
          <w:tab w:leader="none" w:pos="12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that may be necessary or desirable to complete and execute any such Form 3, 4, or 5 or Schedule 13D or 13G, complete and execute any amendment or amendments thereto, and timely file such form with the SEC and any stock exchange or similar authority; and</w:t>
      </w:r>
    </w:p>
    <w:p>
      <w:pPr>
        <w:spacing w:after="0" w:line="175" w:lineRule="exact"/>
        <w:rPr>
          <w:rFonts w:ascii="Times New Roman" w:cs="Times New Roman" w:eastAsia="Times New Roman" w:hAnsi="Times New Roman"/>
          <w:sz w:val="19"/>
          <w:szCs w:val="19"/>
          <w:color w:val="auto"/>
        </w:rPr>
      </w:pPr>
    </w:p>
    <w:p>
      <w:pPr>
        <w:jc w:val="both"/>
        <w:ind w:left="1240" w:hanging="505"/>
        <w:spacing w:after="0" w:line="251" w:lineRule="auto"/>
        <w:tabs>
          <w:tab w:leader="none" w:pos="12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that,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p>
    <w:p>
      <w:pPr>
        <w:spacing w:after="0" w:line="182" w:lineRule="exact"/>
        <w:rPr>
          <w:sz w:val="20"/>
          <w:szCs w:val="20"/>
          <w:color w:val="auto"/>
        </w:rPr>
      </w:pPr>
    </w:p>
    <w:p>
      <w:pPr>
        <w:jc w:val="both"/>
        <w:ind w:firstLine="731"/>
        <w:spacing w:after="0" w:line="248"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186" w:lineRule="exact"/>
        <w:rPr>
          <w:sz w:val="20"/>
          <w:szCs w:val="20"/>
          <w:color w:val="auto"/>
        </w:rPr>
      </w:pPr>
    </w:p>
    <w:p>
      <w:pPr>
        <w:jc w:val="both"/>
        <w:ind w:right="20" w:firstLine="731"/>
        <w:spacing w:after="0" w:line="259"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5, and any Schedules 13D or 13G with respect to the undersigned’s holdings of and transactions in securities issued by the Company, unless earlier revoked by the undersigned in a signed writing delivered to each foregoing attorney-in-fact.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Remainder of page intentionally left blank</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862330</wp:posOffset>
            </wp:positionV>
            <wp:extent cx="699262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p>
      <w:pPr>
        <w:sectPr>
          <w:pgSz w:w="11900" w:h="16838" w:orient="portrait"/>
          <w:cols w:equalWidth="0" w:num="1">
            <w:col w:w="10980"/>
          </w:cols>
          <w:pgMar w:left="460" w:top="1361" w:right="459" w:bottom="1440" w:gutter="0" w:footer="0" w:header="0"/>
        </w:sectPr>
      </w:pPr>
    </w:p>
    <w:bookmarkStart w:id="2" w:name="page3"/>
    <w:bookmarkEnd w:id="2"/>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7th day of January, 2025.</w:t>
      </w:r>
    </w:p>
    <w:p>
      <w:pPr>
        <w:sectPr>
          <w:pgSz w:w="11900" w:h="16838" w:orient="portrait"/>
          <w:cols w:equalWidth="0" w:num="1">
            <w:col w:w="9840"/>
          </w:cols>
          <w:pgMar w:left="1200" w:top="1440" w:right="85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9"/>
          <w:szCs w:val="19"/>
          <w:color w:val="auto"/>
        </w:rPr>
        <w:t>/s/ Tamer Khayal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15875</wp:posOffset>
            </wp:positionV>
            <wp:extent cx="2094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094230" cy="8255"/>
                    </a:xfrm>
                    <a:prstGeom prst="rect">
                      <a:avLst/>
                    </a:prstGeom>
                    <a:noFill/>
                  </pic:spPr>
                </pic:pic>
              </a:graphicData>
            </a:graphic>
          </wp:anchor>
        </w:drawing>
      </w:r>
    </w:p>
    <w:p>
      <w:pPr>
        <w:spacing w:after="0" w:line="1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Tamer Khayal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989965</wp:posOffset>
            </wp:positionV>
            <wp:extent cx="699262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sectPr>
      <w:pgSz w:w="11900" w:h="16838" w:orient="portrait"/>
      <w:cols w:equalWidth="0" w:num="1">
        <w:col w:w="9840"/>
      </w:cols>
      <w:pgMar w:left="1200" w:top="1440" w:right="8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30462" TargetMode="External"/><Relationship Id="rId14" Type="http://schemas.openxmlformats.org/officeDocument/2006/relationships/hyperlink" Target="http://www.sec.gov/cgi-bin/browse-edgar?action=getcompany&amp;CIK=00017562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2025-01-10T15:45:29Z</dcterms:created>
  <dcterms:modified xsi:type="dcterms:W3CDTF">2025-01-10T15:45:29Z</dcterms:modified>
</cp:coreProperties>
</file>